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E57548A119F432DB20DAE2A4F5A7EA6" style="width:450.8pt;height:348.7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ManualHeading1"/>
        <w:rPr>
          <w:noProof/>
        </w:rPr>
      </w:pPr>
      <w:bookmarkStart w:id="1" w:name="_Toc465177305"/>
      <w:bookmarkStart w:id="2" w:name="_Toc465177644"/>
      <w:bookmarkStart w:id="3" w:name="_Toc465421229"/>
      <w:bookmarkStart w:id="4" w:name="_Toc427618563"/>
      <w:bookmarkStart w:id="5" w:name="_Toc452538132"/>
      <w:bookmarkStart w:id="6" w:name="_Toc378078022"/>
      <w:bookmarkStart w:id="7" w:name="_Toc432166070"/>
      <w:bookmarkStart w:id="8" w:name="_Toc434855718"/>
      <w:bookmarkStart w:id="9" w:name="_Toc434937841"/>
      <w:bookmarkStart w:id="10" w:name="_Toc435028873"/>
      <w:bookmarkStart w:id="11" w:name="_Toc436052868"/>
      <w:bookmarkStart w:id="12" w:name="_Toc436066447"/>
      <w:bookmarkStart w:id="13" w:name="_Toc436068101"/>
      <w:bookmarkStart w:id="14" w:name="_Toc436070417"/>
      <w:bookmarkStart w:id="15" w:name="_Toc436732456"/>
      <w:bookmarkStart w:id="16" w:name="_Toc436733373"/>
      <w:bookmarkStart w:id="17" w:name="_Toc436735860"/>
      <w:bookmarkStart w:id="18" w:name="_Toc436992830"/>
      <w:bookmarkStart w:id="19" w:name="_Toc437004440"/>
      <w:bookmarkStart w:id="20" w:name="_Toc437005576"/>
      <w:bookmarkStart w:id="21" w:name="_Toc437244856"/>
      <w:bookmarkStart w:id="22" w:name="_Toc437248504"/>
      <w:bookmarkStart w:id="23" w:name="_Toc437267581"/>
      <w:bookmarkStart w:id="24" w:name="_Toc437269633"/>
      <w:bookmarkStart w:id="25" w:name="_Toc437270348"/>
      <w:bookmarkStart w:id="26" w:name="_Toc437270784"/>
      <w:bookmarkStart w:id="27" w:name="_Toc437270822"/>
      <w:bookmarkStart w:id="28" w:name="_Toc437270987"/>
      <w:bookmarkStart w:id="29" w:name="_Toc437271438"/>
      <w:bookmarkStart w:id="30" w:name="_Toc437273591"/>
      <w:bookmarkStart w:id="31" w:name="_Toc437276098"/>
      <w:bookmarkStart w:id="32" w:name="_Toc439947259"/>
      <w:bookmarkStart w:id="33" w:name="_Toc439949898"/>
      <w:bookmarkStart w:id="34" w:name="_Toc440009720"/>
      <w:bookmarkStart w:id="35" w:name="_Toc440011694"/>
      <w:bookmarkStart w:id="36" w:name="_Toc440225473"/>
      <w:bookmarkStart w:id="37" w:name="_GoBack"/>
      <w:bookmarkEnd w:id="37"/>
      <w:r>
        <w:lastRenderedPageBreak/>
        <w:t>1</w:t>
      </w:r>
      <w:r>
        <w:tab/>
      </w:r>
      <w:r>
        <w:rPr>
          <w:noProof/>
        </w:rPr>
        <w:t>Wprowadzenie</w:t>
      </w:r>
      <w:bookmarkEnd w:id="1"/>
      <w:bookmarkEnd w:id="2"/>
      <w:bookmarkEnd w:id="3"/>
      <w:bookmarkEnd w:id="4"/>
      <w:bookmarkEnd w:id="5"/>
    </w:p>
    <w:p>
      <w:pPr>
        <w:widowControl w:val="0"/>
        <w:spacing w:line="312" w:lineRule="auto"/>
        <w:jc w:val="both"/>
        <w:rPr>
          <w:rFonts w:ascii="Times New Roman" w:hAnsi="Times New Roman" w:cs="Times New Roman"/>
          <w:noProof/>
          <w:sz w:val="24"/>
          <w:szCs w:val="24"/>
        </w:rPr>
      </w:pPr>
      <w:r>
        <w:rPr>
          <w:rFonts w:ascii="Times New Roman" w:hAnsi="Times New Roman"/>
          <w:noProof/>
          <w:sz w:val="24"/>
        </w:rPr>
        <w:t>Jednym z dziesięciu priorytetów Komisji przedstawionych przez przewodniczącego Jeana-Claude’a Junckera</w:t>
      </w:r>
      <w:r>
        <w:rPr>
          <w:rStyle w:val="FootnoteReference"/>
          <w:rFonts w:ascii="Times New Roman" w:hAnsi="Times New Roman"/>
          <w:noProof/>
          <w:sz w:val="24"/>
        </w:rPr>
        <w:footnoteReference w:id="1"/>
      </w:r>
      <w:r>
        <w:rPr>
          <w:rFonts w:ascii="Times New Roman" w:hAnsi="Times New Roman"/>
          <w:noProof/>
          <w:sz w:val="24"/>
        </w:rPr>
        <w:t xml:space="preserve"> jest usunięcie barier dla jednolitego rynku cyfrowego w Europie. Sektor publiczny, na który przypada ponad jedna czwarta całkowitego zatrudnienia i który dzięki zamówieniom publicznym generuje około jednej piątej unijnego PKB, odgrywa kluczową rolę na jednolitym rynku cyfrowym jako regulator, dostawca usług i pracodawca.</w:t>
      </w:r>
    </w:p>
    <w:p>
      <w:pPr>
        <w:spacing w:line="312" w:lineRule="auto"/>
        <w:jc w:val="both"/>
        <w:rPr>
          <w:rFonts w:ascii="Times New Roman" w:hAnsi="Times New Roman" w:cs="Times New Roman"/>
          <w:noProof/>
          <w:sz w:val="24"/>
          <w:szCs w:val="24"/>
        </w:rPr>
      </w:pPr>
      <w:r>
        <w:rPr>
          <w:rFonts w:ascii="Times New Roman" w:hAnsi="Times New Roman"/>
          <w:noProof/>
          <w:sz w:val="24"/>
        </w:rPr>
        <w:t>Państwa członkowskie wprowadzają cyfryzację swoich administracji publicznych, aby oszczędzać czas, obniżać koszty, zwiększać przejrzystość oraz poprawiać zarówno jakość danych, jak i świadczenie usług publicznych. W Unii Europejskiej cyfrowe usługi publiczne nie są jeszcze rzeczywistością, jak wykazuje indeks gospodarki cyfrowej i społeczeństwa cyfrowego za 2016 r. w odniesieniu do administracji elektronicznej</w:t>
      </w:r>
      <w:r>
        <w:rPr>
          <w:rStyle w:val="FootnoteReference"/>
          <w:rFonts w:ascii="Times New Roman" w:hAnsi="Times New Roman"/>
          <w:noProof/>
          <w:sz w:val="24"/>
        </w:rPr>
        <w:footnoteReference w:id="2"/>
      </w:r>
      <w:r>
        <w:rPr>
          <w:noProof/>
        </w:rPr>
        <w:t>.</w:t>
      </w:r>
      <w:r>
        <w:rPr>
          <w:rFonts w:ascii="Times New Roman" w:hAnsi="Times New Roman"/>
          <w:noProof/>
          <w:sz w:val="24"/>
        </w:rPr>
        <w:t xml:space="preserve"> Jeżeli chodzi o usługi transgraniczne w Unii, sytuacja jest jeszcze trudniejsza, ponieważ nadal istnieją bariery w dostępie do tych usług</w:t>
      </w:r>
      <w:r>
        <w:rPr>
          <w:rStyle w:val="FootnoteReference"/>
          <w:rFonts w:ascii="Times New Roman" w:hAnsi="Times New Roman"/>
          <w:noProof/>
          <w:sz w:val="24"/>
        </w:rPr>
        <w:footnoteReference w:id="3"/>
      </w:r>
      <w:r>
        <w:rPr>
          <w:noProof/>
        </w:rPr>
        <w:t>.</w:t>
      </w:r>
    </w:p>
    <w:p>
      <w:pPr>
        <w:spacing w:line="312" w:lineRule="auto"/>
        <w:jc w:val="both"/>
        <w:rPr>
          <w:rFonts w:ascii="Times New Roman" w:hAnsi="Times New Roman" w:cs="Times New Roman"/>
          <w:noProof/>
          <w:sz w:val="24"/>
          <w:szCs w:val="24"/>
        </w:rPr>
      </w:pPr>
      <w:r>
        <w:rPr>
          <w:rFonts w:ascii="Times New Roman" w:hAnsi="Times New Roman"/>
          <w:noProof/>
          <w:sz w:val="24"/>
        </w:rPr>
        <w:t xml:space="preserve">Nadal istnieją duże możliwości dalszego ulepszenia usług publicznych dzięki integracji typu koniec-koniec i automatyzacji, lepszemu wykorzystywaniu wiarygodnych źródeł informacji oraz jawnemu publikowaniu danych publicznych, przy jednoczesnym zapewnieniu, aby rejestry obywateli i przedsiębiorstw były traktowane zgodnie z przepisami o ochronie danych w celu zwiększenia zaufania i pewności. Krajowe usługi publiczne powinny być powiązane i powinny wykraczać poza granice krajowe, aby wzajemnie łączyć się z podobnymi usługami na poziomie unijnym i w ten sposób przyczyniać się do tworzenia jednolitego rynku cyfrowego. Aby tak się stało, powinno istnieć skoordynowane podejście stosowane na wszystkich poziomach podczas przygotowywania przepisów, organizowania procedur działania przez administracje publiczne, zarządzania informacjami oraz opracowywania systemów informacyjnych w celu wdrażania usług publicznych. W przeciwnym razie istniejąca fragmentacja cyfrowa będzie się nasilać, co zagrozi oferowaniu powiązanych usług publicznych w całej UE. </w:t>
      </w:r>
    </w:p>
    <w:p>
      <w:pPr>
        <w:spacing w:line="312" w:lineRule="auto"/>
        <w:jc w:val="both"/>
        <w:rPr>
          <w:rFonts w:ascii="Times New Roman" w:hAnsi="Times New Roman" w:cs="Times New Roman"/>
          <w:noProof/>
          <w:sz w:val="24"/>
          <w:szCs w:val="24"/>
        </w:rPr>
      </w:pPr>
      <w:r>
        <w:rPr>
          <w:rFonts w:ascii="Times New Roman" w:hAnsi="Times New Roman"/>
          <w:noProof/>
          <w:sz w:val="24"/>
        </w:rPr>
        <w:t xml:space="preserve">Interoperacyjność stanowi kluczowy czynnik umożliwiający transformację cyfrową. Umożliwia podmiotom administracyjnym elektroniczną wymianę – między sobą oraz z obywatelami i przedsiębiorstwami – istotnych informacji w sposób zrozumiały dla wszystkich stron. Dotyczy wszystkich warstw, które wpływają na świadczenie cyfrowych usług publicznych w UE, w tym: </w:t>
      </w:r>
    </w:p>
    <w:p>
      <w:pPr>
        <w:pStyle w:val="ListParagraph"/>
        <w:numPr>
          <w:ilvl w:val="0"/>
          <w:numId w:val="34"/>
        </w:numPr>
        <w:spacing w:line="312" w:lineRule="auto"/>
        <w:rPr>
          <w:noProof/>
        </w:rPr>
      </w:pPr>
      <w:r>
        <w:rPr>
          <w:noProof/>
        </w:rPr>
        <w:lastRenderedPageBreak/>
        <w:t xml:space="preserve">kwestii prawnych, np. poprzez zapewnienie, aby przepisy nie tworzyły nieuzasadnionych barier dla ponownego wykorzystywania danych w różnych obszarach polityki; </w:t>
      </w:r>
    </w:p>
    <w:p>
      <w:pPr>
        <w:pStyle w:val="ListParagraph"/>
        <w:numPr>
          <w:ilvl w:val="0"/>
          <w:numId w:val="34"/>
        </w:numPr>
        <w:spacing w:line="312" w:lineRule="auto"/>
        <w:rPr>
          <w:noProof/>
        </w:rPr>
      </w:pPr>
      <w:r>
        <w:rPr>
          <w:noProof/>
        </w:rPr>
        <w:t xml:space="preserve">aspektów organizacyjnych, np. poprzez wymaganie formalnych umów w sprawie warunków mających zastosowanie do interakcji między organizacjami; </w:t>
      </w:r>
    </w:p>
    <w:p>
      <w:pPr>
        <w:pStyle w:val="ListParagraph"/>
        <w:numPr>
          <w:ilvl w:val="0"/>
          <w:numId w:val="34"/>
        </w:numPr>
        <w:spacing w:line="312" w:lineRule="auto"/>
        <w:rPr>
          <w:noProof/>
        </w:rPr>
      </w:pPr>
      <w:r>
        <w:rPr>
          <w:noProof/>
        </w:rPr>
        <w:t xml:space="preserve">kwestii danych / kwestii semantycznych, np. poprzez zapewnienie stosowania wspólnych opisów wymienianych danych; </w:t>
      </w:r>
    </w:p>
    <w:p>
      <w:pPr>
        <w:pStyle w:val="ListParagraph"/>
        <w:numPr>
          <w:ilvl w:val="0"/>
          <w:numId w:val="34"/>
        </w:numPr>
        <w:spacing w:line="312" w:lineRule="auto"/>
        <w:rPr>
          <w:noProof/>
        </w:rPr>
      </w:pPr>
      <w:r>
        <w:rPr>
          <w:noProof/>
        </w:rPr>
        <w:t>wyzwań technicznych, np. poprzez utworzenie niezbędnego środowiska systemów informacyjnych umożliwiającego nieprzerwany przepływ bitów i bajtów.</w:t>
      </w:r>
    </w:p>
    <w:p>
      <w:pPr>
        <w:spacing w:line="312" w:lineRule="auto"/>
        <w:jc w:val="both"/>
        <w:rPr>
          <w:rFonts w:ascii="Times New Roman" w:hAnsi="Times New Roman" w:cs="Times New Roman"/>
          <w:noProof/>
          <w:sz w:val="24"/>
          <w:szCs w:val="24"/>
        </w:rPr>
      </w:pPr>
      <w:r>
        <w:rPr>
          <w:rFonts w:ascii="Times New Roman" w:hAnsi="Times New Roman"/>
          <w:noProof/>
          <w:color w:val="000000"/>
          <w:sz w:val="24"/>
        </w:rPr>
        <w:t>Komisja w 1999 r.</w:t>
      </w:r>
      <w:r>
        <w:rPr>
          <w:rStyle w:val="FootnoteReference"/>
          <w:rFonts w:ascii="Times New Roman" w:hAnsi="Times New Roman"/>
          <w:noProof/>
          <w:color w:val="000000"/>
          <w:sz w:val="24"/>
        </w:rPr>
        <w:footnoteReference w:id="4"/>
      </w:r>
      <w:r>
        <w:rPr>
          <w:rFonts w:ascii="Times New Roman" w:hAnsi="Times New Roman"/>
          <w:noProof/>
          <w:color w:val="000000"/>
          <w:sz w:val="24"/>
        </w:rPr>
        <w:t xml:space="preserve"> stwierdziła, że istnieje potrzeba interoperacyjności między administracjami publicznymi i od tego czasu wspierała programy mające na celu opracowywanie, promowanie i wykorzystywanie rozwiązań interoperacyjnych w UE. W 2010 r. Komisja przyjęła komunikat</w:t>
      </w:r>
      <w:r>
        <w:rPr>
          <w:rStyle w:val="FootnoteReference"/>
          <w:rFonts w:ascii="Times New Roman" w:hAnsi="Times New Roman"/>
          <w:noProof/>
          <w:sz w:val="24"/>
        </w:rPr>
        <w:footnoteReference w:id="5"/>
      </w:r>
      <w:r>
        <w:rPr>
          <w:rFonts w:ascii="Times New Roman" w:hAnsi="Times New Roman"/>
          <w:noProof/>
          <w:color w:val="000000"/>
          <w:sz w:val="24"/>
        </w:rPr>
        <w:t xml:space="preserve"> „W kierunku interoperacyjności europejskich usług użyteczności publicznej”, którego załącznik zawiera europejską strategię interoperacyjności</w:t>
      </w:r>
      <w:r>
        <w:rPr>
          <w:rStyle w:val="FootnoteReference"/>
          <w:rFonts w:ascii="Times New Roman" w:hAnsi="Times New Roman"/>
          <w:noProof/>
          <w:sz w:val="24"/>
        </w:rPr>
        <w:footnoteReference w:id="6"/>
      </w:r>
      <w:r>
        <w:rPr>
          <w:rFonts w:ascii="Times New Roman" w:hAnsi="Times New Roman"/>
          <w:noProof/>
          <w:color w:val="000000"/>
          <w:sz w:val="24"/>
        </w:rPr>
        <w:t xml:space="preserve"> (EIS) oraz europejskie ramy interoperacyjności</w:t>
      </w:r>
      <w:r>
        <w:rPr>
          <w:rStyle w:val="FootnoteReference"/>
          <w:rFonts w:ascii="Times New Roman" w:hAnsi="Times New Roman"/>
          <w:noProof/>
          <w:sz w:val="24"/>
        </w:rPr>
        <w:footnoteReference w:id="7"/>
      </w:r>
      <w:r>
        <w:rPr>
          <w:rFonts w:ascii="Times New Roman" w:hAnsi="Times New Roman"/>
          <w:noProof/>
          <w:color w:val="000000"/>
          <w:sz w:val="24"/>
        </w:rPr>
        <w:t xml:space="preserve"> (EIF). Odtąd </w:t>
      </w:r>
      <w:r>
        <w:rPr>
          <w:rFonts w:ascii="Times New Roman" w:hAnsi="Times New Roman"/>
          <w:noProof/>
          <w:sz w:val="24"/>
        </w:rPr>
        <w:t>europejskie ramy interoperacyjności służyły za punkt odniesienia na obszarze całej Unii i poza nią, a także stanowiły podstawę dla większości krajowych ram interoperacyjności (NIF) i strategii w tej dziedzinie. Obecnie nadszedł czas, żeby na podstawie tych osiągnięć zaktualizować i rozszerzyć obecne europejskie ramy interoperacyjności, aby uwzględnić</w:t>
      </w:r>
      <w:r>
        <w:rPr>
          <w:rFonts w:ascii="Times New Roman" w:hAnsi="Times New Roman"/>
          <w:noProof/>
          <w:color w:val="000000"/>
          <w:sz w:val="24"/>
        </w:rPr>
        <w:t xml:space="preserve"> nowe lub zmienione wymogi związane z interoperacyjnością, które wynikają z polityki i programów Unii, jak również z administracji publicznych, a jednocześnie</w:t>
      </w:r>
      <w:r>
        <w:rPr>
          <w:rFonts w:ascii="Times New Roman" w:hAnsi="Times New Roman"/>
          <w:noProof/>
          <w:sz w:val="24"/>
        </w:rPr>
        <w:t xml:space="preserve"> wziąć pod uwagę zmiany i tendencje w dziedzinie technologii</w:t>
      </w:r>
      <w:r>
        <w:rPr>
          <w:rFonts w:ascii="Times New Roman" w:hAnsi="Times New Roman"/>
          <w:noProof/>
          <w:color w:val="000000"/>
          <w:sz w:val="24"/>
        </w:rPr>
        <w:t>.</w:t>
      </w:r>
    </w:p>
    <w:p>
      <w:pPr>
        <w:spacing w:line="312" w:lineRule="auto"/>
        <w:jc w:val="both"/>
        <w:rPr>
          <w:rFonts w:ascii="Times New Roman" w:hAnsi="Times New Roman" w:cs="Times New Roman"/>
          <w:noProof/>
          <w:sz w:val="24"/>
          <w:szCs w:val="24"/>
        </w:rPr>
      </w:pPr>
      <w:r>
        <w:rPr>
          <w:rFonts w:ascii="Times New Roman" w:hAnsi="Times New Roman"/>
          <w:noProof/>
          <w:sz w:val="24"/>
        </w:rPr>
        <w:t>W tym kontekście należy przypomnieć, że w komunikacie „Strategia jednolitego rynku cyfrowego dla Europy”</w:t>
      </w:r>
      <w:r>
        <w:rPr>
          <w:rStyle w:val="FootnoteReference"/>
          <w:rFonts w:ascii="Times New Roman" w:hAnsi="Times New Roman"/>
          <w:noProof/>
          <w:sz w:val="24"/>
        </w:rPr>
        <w:footnoteReference w:id="8"/>
      </w:r>
      <w:r>
        <w:rPr>
          <w:rFonts w:ascii="Times New Roman" w:hAnsi="Times New Roman"/>
          <w:noProof/>
          <w:sz w:val="24"/>
        </w:rPr>
        <w:t xml:space="preserve"> z dnia 6 maja 2015 r. uznano interoperacyjność za warunek wstępny umożliwiający „bardziej efektywne połączenia między państwami i społecznościami oraz między służbami i organami publicznymi” oraz wezwano do zmiany i rozszerzenia istniejących europejskich ram interoperacyjności.</w:t>
      </w:r>
    </w:p>
    <w:p>
      <w:pPr>
        <w:pStyle w:val="ManualHeading1"/>
        <w:rPr>
          <w:noProof/>
        </w:rPr>
      </w:pPr>
      <w:bookmarkStart w:id="38" w:name="_Toc465179614"/>
      <w:bookmarkStart w:id="39" w:name="_Toc465179954"/>
      <w:bookmarkStart w:id="40" w:name="_Toc465180119"/>
      <w:bookmarkStart w:id="41" w:name="_Ref435046446"/>
      <w:bookmarkStart w:id="42" w:name="_Toc452538133"/>
      <w:bookmarkStart w:id="43" w:name="_Toc465177306"/>
      <w:bookmarkStart w:id="44" w:name="_Toc465177645"/>
      <w:bookmarkStart w:id="45" w:name="_Toc46542123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8"/>
      <w:bookmarkEnd w:id="39"/>
      <w:bookmarkEnd w:id="40"/>
      <w:r>
        <w:t>2</w:t>
      </w:r>
      <w:r>
        <w:tab/>
      </w:r>
      <w:r>
        <w:rPr>
          <w:noProof/>
        </w:rPr>
        <w:t>Aktualna sytuacja w obszarze interoperacyjności</w:t>
      </w:r>
      <w:bookmarkEnd w:id="41"/>
      <w:bookmarkEnd w:id="42"/>
      <w:bookmarkEnd w:id="43"/>
      <w:bookmarkEnd w:id="44"/>
      <w:r>
        <w:rPr>
          <w:noProof/>
        </w:rPr>
        <w:t xml:space="preserve"> i przyszłe działania</w:t>
      </w:r>
      <w:bookmarkEnd w:id="45"/>
    </w:p>
    <w:p>
      <w:pPr>
        <w:spacing w:line="312" w:lineRule="auto"/>
        <w:jc w:val="both"/>
        <w:rPr>
          <w:rFonts w:ascii="Times New Roman" w:hAnsi="Times New Roman" w:cs="Times New Roman"/>
          <w:noProof/>
          <w:sz w:val="24"/>
          <w:szCs w:val="24"/>
        </w:rPr>
      </w:pPr>
      <w:bookmarkStart w:id="46" w:name="_Ref417849887"/>
      <w:bookmarkStart w:id="47" w:name="_Toc417850654"/>
      <w:bookmarkStart w:id="48" w:name="_Toc427618574"/>
      <w:r>
        <w:rPr>
          <w:rFonts w:ascii="Times New Roman" w:hAnsi="Times New Roman"/>
          <w:noProof/>
          <w:sz w:val="24"/>
        </w:rPr>
        <w:t>Program na rzecz rozwiązań interoperacyjnych dla europejskich administracji publicznych (ISA) (na lata 2010–2015)</w:t>
      </w:r>
      <w:r>
        <w:rPr>
          <w:rStyle w:val="FootnoteReference"/>
          <w:rFonts w:ascii="Times New Roman" w:hAnsi="Times New Roman"/>
          <w:noProof/>
          <w:sz w:val="24"/>
        </w:rPr>
        <w:footnoteReference w:id="9"/>
      </w:r>
      <w:r>
        <w:rPr>
          <w:rFonts w:ascii="Times New Roman" w:hAnsi="Times New Roman"/>
          <w:noProof/>
          <w:sz w:val="24"/>
        </w:rPr>
        <w:t xml:space="preserve"> i jego następca, program ISA² (na lata 2016–2020)</w:t>
      </w:r>
      <w:r>
        <w:rPr>
          <w:rStyle w:val="FootnoteReference"/>
          <w:rFonts w:ascii="Times New Roman" w:hAnsi="Times New Roman"/>
          <w:noProof/>
          <w:sz w:val="24"/>
        </w:rPr>
        <w:footnoteReference w:id="10"/>
      </w:r>
      <w:r>
        <w:rPr>
          <w:rFonts w:ascii="Times New Roman" w:hAnsi="Times New Roman"/>
          <w:noProof/>
          <w:sz w:val="24"/>
        </w:rPr>
        <w:t xml:space="preserve">, są głównymi instrumentami, za pomocą których wdrażano aktualną </w:t>
      </w:r>
      <w:r>
        <w:rPr>
          <w:rFonts w:ascii="Times New Roman" w:hAnsi="Times New Roman"/>
          <w:noProof/>
          <w:color w:val="000000"/>
          <w:sz w:val="24"/>
        </w:rPr>
        <w:t>europejską strategię interoperacyjności</w:t>
      </w:r>
      <w:r>
        <w:rPr>
          <w:rFonts w:ascii="Times New Roman" w:hAnsi="Times New Roman"/>
          <w:noProof/>
          <w:sz w:val="24"/>
        </w:rPr>
        <w:t xml:space="preserve"> i europejskie ramy interoperacyjności. Obejmowało to szereg działań, których celem była poprawa współpracy cyfrowej między administracjami publicznymi w Europie.</w:t>
      </w:r>
    </w:p>
    <w:p>
      <w:pPr>
        <w:spacing w:line="312" w:lineRule="auto"/>
        <w:jc w:val="both"/>
        <w:rPr>
          <w:rFonts w:ascii="Times New Roman" w:hAnsi="Times New Roman" w:cs="Times New Roman"/>
          <w:noProof/>
          <w:sz w:val="24"/>
          <w:szCs w:val="24"/>
        </w:rPr>
      </w:pPr>
      <w:r>
        <w:rPr>
          <w:rFonts w:ascii="Times New Roman" w:hAnsi="Times New Roman"/>
          <w:noProof/>
          <w:sz w:val="24"/>
        </w:rPr>
        <w:t xml:space="preserve">Obserwatorium Krajowych Ram Interoperacyjności (NIFO), utworzone przez Komisję w związku z wdrażaniem programu ISA w celu mierzenia postępów i monitorowania aktualnej sytuacji w dziedzinie interoperacyjności w Unii, wykazało, że w 2014 r. dostosowanie </w:t>
      </w:r>
      <w:r>
        <w:rPr>
          <w:rFonts w:ascii="Times New Roman" w:hAnsi="Times New Roman"/>
          <w:noProof/>
          <w:color w:val="000000"/>
          <w:sz w:val="24"/>
        </w:rPr>
        <w:t>krajowych ram interoperacyjności</w:t>
      </w:r>
      <w:r>
        <w:rPr>
          <w:rFonts w:ascii="Times New Roman" w:hAnsi="Times New Roman"/>
          <w:noProof/>
          <w:sz w:val="24"/>
        </w:rPr>
        <w:t xml:space="preserve"> do </w:t>
      </w:r>
      <w:r>
        <w:rPr>
          <w:rFonts w:ascii="Times New Roman" w:hAnsi="Times New Roman"/>
          <w:noProof/>
          <w:color w:val="000000"/>
          <w:sz w:val="24"/>
        </w:rPr>
        <w:t>europejskich ram interoperacyjności</w:t>
      </w:r>
      <w:r>
        <w:rPr>
          <w:rFonts w:ascii="Times New Roman" w:hAnsi="Times New Roman"/>
          <w:noProof/>
          <w:sz w:val="24"/>
        </w:rPr>
        <w:t xml:space="preserve"> osiągnęło średni poziom 72 %</w:t>
      </w:r>
      <w:r>
        <w:rPr>
          <w:rStyle w:val="FootnoteReference"/>
          <w:rFonts w:ascii="Times New Roman" w:hAnsi="Times New Roman"/>
          <w:noProof/>
          <w:sz w:val="24"/>
        </w:rPr>
        <w:footnoteReference w:id="11"/>
      </w:r>
      <w:r>
        <w:rPr>
          <w:noProof/>
        </w:rPr>
        <w:t>.</w:t>
      </w:r>
      <w:r>
        <w:rPr>
          <w:rFonts w:ascii="Times New Roman" w:hAnsi="Times New Roman"/>
          <w:noProof/>
          <w:sz w:val="24"/>
        </w:rPr>
        <w:t xml:space="preserve"> Poziom wdrażania krajowych ram interoperacyjności w określonych projektach krajowych wyniósł jednak 45 % w 2015 r., co wskazuje, że nadal istnieją trudności w praktycznym wykonywaniu obecnych zaleceń. </w:t>
      </w:r>
    </w:p>
    <w:p>
      <w:pPr>
        <w:spacing w:before="240" w:after="240" w:line="336" w:lineRule="auto"/>
        <w:jc w:val="both"/>
        <w:rPr>
          <w:rFonts w:ascii="Times New Roman" w:hAnsi="Times New Roman" w:cs="Times New Roman"/>
          <w:noProof/>
          <w:sz w:val="24"/>
          <w:szCs w:val="24"/>
        </w:rPr>
      </w:pPr>
      <w:r>
        <w:rPr>
          <w:rFonts w:ascii="Times New Roman" w:hAnsi="Times New Roman"/>
          <w:noProof/>
          <w:sz w:val="24"/>
        </w:rPr>
        <w:t xml:space="preserve">Administracje publiczne potrzebują bardziej szczegółowych wytycznych, które dotyczą sposobu poprawy zarządzania ich działaniami związanymi z interoperacyjnością, ustanowienia związków między organizacjami, usprawnienia procesów wspierających cyfrowe usługi typu koniec-koniec oraz zapewniania, aby obowiązujące i nowe przepisy nie zagrażały wysiłkom na rzecz interoperacyjności. Wytyczne te przedstawiono w zaktualizowanym zbiorze zaleceń dotyczących interoperacyjności zawartym w </w:t>
      </w:r>
      <w:r>
        <w:rPr>
          <w:rFonts w:ascii="Times New Roman" w:hAnsi="Times New Roman"/>
          <w:noProof/>
          <w:color w:val="000000"/>
          <w:sz w:val="24"/>
        </w:rPr>
        <w:t>europejskich ramach interoperacyjności, które znajdują się w załączniku 2 do niniejszego komunikatu</w:t>
      </w:r>
      <w:r>
        <w:rPr>
          <w:rFonts w:ascii="Times New Roman" w:hAnsi="Times New Roman"/>
          <w:noProof/>
          <w:sz w:val="24"/>
        </w:rPr>
        <w:t>.</w:t>
      </w:r>
    </w:p>
    <w:p>
      <w:pPr>
        <w:spacing w:line="312" w:lineRule="auto"/>
        <w:jc w:val="both"/>
        <w:rPr>
          <w:rFonts w:ascii="Times New Roman" w:hAnsi="Times New Roman" w:cs="Times New Roman"/>
          <w:noProof/>
          <w:sz w:val="24"/>
          <w:szCs w:val="24"/>
        </w:rPr>
      </w:pPr>
      <w:r>
        <w:rPr>
          <w:rFonts w:ascii="Times New Roman" w:hAnsi="Times New Roman"/>
          <w:noProof/>
          <w:sz w:val="24"/>
        </w:rPr>
        <w:t xml:space="preserve">Zalecenia te powinny pomóc administracjom publicznym: </w:t>
      </w:r>
    </w:p>
    <w:p>
      <w:pPr>
        <w:pStyle w:val="ListParagraph"/>
        <w:numPr>
          <w:ilvl w:val="0"/>
          <w:numId w:val="35"/>
        </w:numPr>
        <w:spacing w:line="312" w:lineRule="auto"/>
        <w:rPr>
          <w:noProof/>
        </w:rPr>
      </w:pPr>
      <w:r>
        <w:rPr>
          <w:noProof/>
        </w:rPr>
        <w:t xml:space="preserve">w ulepszeniu ich krajowego zarządzania działaniami w obszarze interoperacyjności, </w:t>
      </w:r>
    </w:p>
    <w:p>
      <w:pPr>
        <w:pStyle w:val="ListParagraph"/>
        <w:numPr>
          <w:ilvl w:val="0"/>
          <w:numId w:val="35"/>
        </w:numPr>
        <w:spacing w:line="312" w:lineRule="auto"/>
        <w:rPr>
          <w:noProof/>
        </w:rPr>
      </w:pPr>
      <w:r>
        <w:rPr>
          <w:noProof/>
        </w:rPr>
        <w:t>w wykorzystywaniu wspólnych modeli operacyjnych do opracowywania lepszych cyfrowych usług publicznych oraz uwzględniania potrzeb obywateli i przedsiębiorstw z innych państw członkowskich UE,</w:t>
      </w:r>
    </w:p>
    <w:p>
      <w:pPr>
        <w:pStyle w:val="ListParagraph"/>
        <w:numPr>
          <w:ilvl w:val="0"/>
          <w:numId w:val="35"/>
        </w:numPr>
        <w:spacing w:line="312" w:lineRule="auto"/>
        <w:rPr>
          <w:noProof/>
        </w:rPr>
      </w:pPr>
      <w:r>
        <w:rPr>
          <w:noProof/>
        </w:rPr>
        <w:t>w zarządzaniu danymi, które posiadają we wspólnych formatach semantycznych i syntaktycznych, aby ułatwić ich publikowanie na portalach oraz ich łączenie, udostępnianie i ponowne wykorzystywanie.</w:t>
      </w:r>
    </w:p>
    <w:p>
      <w:pPr>
        <w:spacing w:before="240" w:after="240" w:line="336" w:lineRule="auto"/>
        <w:jc w:val="both"/>
        <w:rPr>
          <w:rFonts w:ascii="Times New Roman" w:hAnsi="Times New Roman" w:cs="Times New Roman"/>
          <w:noProof/>
          <w:sz w:val="24"/>
          <w:szCs w:val="24"/>
        </w:rPr>
      </w:pPr>
      <w:r>
        <w:rPr>
          <w:rFonts w:ascii="Times New Roman" w:hAnsi="Times New Roman"/>
          <w:noProof/>
          <w:sz w:val="24"/>
        </w:rPr>
        <w:t>Zaktualizowane zalecenia dotyczące interoperacyjności zmieniono, aby uwzględnić politykę UE, na przykład zmienioną dyrektywę w sprawie ponownego wykorzystywania informacji sektora publicznego</w:t>
      </w:r>
      <w:r>
        <w:rPr>
          <w:rStyle w:val="FootnoteReference"/>
          <w:rFonts w:ascii="Times New Roman" w:hAnsi="Times New Roman"/>
          <w:noProof/>
          <w:sz w:val="24"/>
        </w:rPr>
        <w:footnoteReference w:id="12"/>
      </w:r>
      <w:r>
        <w:rPr>
          <w:rFonts w:ascii="Times New Roman" w:hAnsi="Times New Roman"/>
          <w:noProof/>
          <w:sz w:val="24"/>
        </w:rPr>
        <w:t>, dyrektywę INSPIRE</w:t>
      </w:r>
      <w:r>
        <w:rPr>
          <w:rStyle w:val="FootnoteReference"/>
          <w:rFonts w:ascii="Times New Roman" w:hAnsi="Times New Roman"/>
          <w:noProof/>
          <w:sz w:val="24"/>
        </w:rPr>
        <w:footnoteReference w:id="13"/>
      </w:r>
      <w:r>
        <w:rPr>
          <w:rFonts w:ascii="Times New Roman" w:hAnsi="Times New Roman"/>
          <w:noProof/>
          <w:sz w:val="24"/>
        </w:rPr>
        <w:t xml:space="preserve"> oraz rozporządzenie eIDAS</w:t>
      </w:r>
      <w:r>
        <w:rPr>
          <w:rStyle w:val="FootnoteReference"/>
          <w:rFonts w:ascii="Times New Roman" w:hAnsi="Times New Roman"/>
          <w:noProof/>
          <w:sz w:val="24"/>
        </w:rPr>
        <w:footnoteReference w:id="14"/>
      </w:r>
      <w:r>
        <w:rPr>
          <w:noProof/>
        </w:rPr>
        <w:t>.</w:t>
      </w:r>
    </w:p>
    <w:p>
      <w:pPr>
        <w:spacing w:before="240" w:after="240" w:line="336" w:lineRule="auto"/>
        <w:jc w:val="both"/>
        <w:rPr>
          <w:rFonts w:ascii="Times New Roman" w:hAnsi="Times New Roman" w:cs="Times New Roman"/>
          <w:noProof/>
          <w:sz w:val="24"/>
          <w:szCs w:val="24"/>
        </w:rPr>
      </w:pPr>
      <w:r>
        <w:rPr>
          <w:rFonts w:ascii="Times New Roman" w:hAnsi="Times New Roman"/>
          <w:noProof/>
          <w:sz w:val="24"/>
        </w:rPr>
        <w:t>Uwzględniono również nowe unijne inicjatywy, takie jak europejska inicjatywa dotycząca przetwarzania w chmurze</w:t>
      </w:r>
      <w:r>
        <w:rPr>
          <w:rStyle w:val="FootnoteReference"/>
          <w:rFonts w:ascii="Times New Roman" w:hAnsi="Times New Roman"/>
          <w:noProof/>
          <w:sz w:val="24"/>
        </w:rPr>
        <w:footnoteReference w:id="15"/>
      </w:r>
      <w:r>
        <w:rPr>
          <w:rFonts w:ascii="Times New Roman" w:hAnsi="Times New Roman"/>
          <w:noProof/>
          <w:sz w:val="24"/>
        </w:rPr>
        <w:t xml:space="preserve"> i plan działania UE na rzecz administracji elektronicznej na lata 2016–2020</w:t>
      </w:r>
      <w:r>
        <w:rPr>
          <w:rStyle w:val="FootnoteReference"/>
          <w:rFonts w:ascii="Times New Roman" w:hAnsi="Times New Roman"/>
          <w:noProof/>
          <w:sz w:val="24"/>
        </w:rPr>
        <w:footnoteReference w:id="16"/>
      </w:r>
      <w:r>
        <w:rPr>
          <w:rFonts w:ascii="Times New Roman" w:hAnsi="Times New Roman"/>
          <w:noProof/>
          <w:sz w:val="24"/>
        </w:rPr>
        <w:t>, oraz inicjatywy przewidywane, takie jak jeden portal cyfrowy</w:t>
      </w:r>
      <w:r>
        <w:rPr>
          <w:rStyle w:val="FootnoteReference"/>
          <w:rFonts w:ascii="Times New Roman" w:hAnsi="Times New Roman"/>
          <w:noProof/>
          <w:sz w:val="24"/>
        </w:rPr>
        <w:footnoteReference w:id="17"/>
      </w:r>
      <w:r>
        <w:rPr>
          <w:rFonts w:ascii="Times New Roman" w:hAnsi="Times New Roman"/>
          <w:noProof/>
          <w:sz w:val="24"/>
        </w:rPr>
        <w:t xml:space="preserve">, aby zaktualizowane zalecenia dotyczące interoperacyjności przyczyniły się do ich wdrażania. </w:t>
      </w:r>
    </w:p>
    <w:p>
      <w:pPr>
        <w:spacing w:before="240" w:after="240" w:line="336" w:lineRule="auto"/>
        <w:jc w:val="both"/>
        <w:rPr>
          <w:rFonts w:ascii="Times New Roman" w:hAnsi="Times New Roman" w:cs="Times New Roman"/>
          <w:noProof/>
          <w:sz w:val="24"/>
          <w:szCs w:val="24"/>
        </w:rPr>
      </w:pPr>
      <w:r>
        <w:rPr>
          <w:rFonts w:ascii="Times New Roman" w:hAnsi="Times New Roman"/>
          <w:noProof/>
          <w:sz w:val="24"/>
        </w:rPr>
        <w:t xml:space="preserve">Konieczność zmiany </w:t>
      </w:r>
      <w:r>
        <w:rPr>
          <w:rFonts w:ascii="Times New Roman" w:hAnsi="Times New Roman"/>
          <w:noProof/>
          <w:color w:val="000000"/>
          <w:sz w:val="24"/>
        </w:rPr>
        <w:t xml:space="preserve">europejskich ram interoperacyjności </w:t>
      </w:r>
      <w:r>
        <w:rPr>
          <w:rFonts w:ascii="Times New Roman" w:hAnsi="Times New Roman"/>
          <w:noProof/>
          <w:sz w:val="24"/>
        </w:rPr>
        <w:t>potwierdzono w trakcie konsultacji</w:t>
      </w:r>
      <w:r>
        <w:rPr>
          <w:rStyle w:val="FootnoteReference"/>
          <w:rFonts w:ascii="Times New Roman" w:hAnsi="Times New Roman"/>
          <w:noProof/>
          <w:sz w:val="24"/>
        </w:rPr>
        <w:footnoteReference w:id="18"/>
      </w:r>
      <w:r>
        <w:rPr>
          <w:rFonts w:ascii="Times New Roman" w:hAnsi="Times New Roman"/>
          <w:noProof/>
          <w:sz w:val="24"/>
        </w:rPr>
        <w:t xml:space="preserve"> ze wszystkimi zainteresowanymi stronami, a mianowicie z administracjami publicznymi państw członkowskich, obywatelami, przedsiębiorstwami i innymi zainteresowanymi podmiotami, takimi jak instytucje i organy Unii.</w:t>
      </w:r>
    </w:p>
    <w:p>
      <w:pPr>
        <w:pStyle w:val="ManualHeading1"/>
        <w:rPr>
          <w:noProof/>
        </w:rPr>
      </w:pPr>
      <w:bookmarkStart w:id="49" w:name="_Toc465176482"/>
      <w:bookmarkStart w:id="50" w:name="_Toc465176651"/>
      <w:bookmarkStart w:id="51" w:name="_Toc465176979"/>
      <w:bookmarkStart w:id="52" w:name="_Toc465177143"/>
      <w:bookmarkStart w:id="53" w:name="_Toc465177307"/>
      <w:bookmarkStart w:id="54" w:name="_Toc465177646"/>
      <w:bookmarkStart w:id="55" w:name="_Toc465177974"/>
      <w:bookmarkStart w:id="56" w:name="_Toc465178143"/>
      <w:bookmarkStart w:id="57" w:name="_Toc465178307"/>
      <w:bookmarkStart w:id="58" w:name="_Toc465179616"/>
      <w:bookmarkStart w:id="59" w:name="_Toc465179956"/>
      <w:bookmarkStart w:id="60" w:name="_Toc465180121"/>
      <w:bookmarkStart w:id="61" w:name="_Toc465421231"/>
      <w:bookmarkEnd w:id="49"/>
      <w:bookmarkEnd w:id="50"/>
      <w:bookmarkEnd w:id="51"/>
      <w:bookmarkEnd w:id="52"/>
      <w:bookmarkEnd w:id="53"/>
      <w:bookmarkEnd w:id="54"/>
      <w:bookmarkEnd w:id="55"/>
      <w:bookmarkEnd w:id="56"/>
      <w:bookmarkEnd w:id="57"/>
      <w:bookmarkEnd w:id="58"/>
      <w:bookmarkEnd w:id="59"/>
      <w:bookmarkEnd w:id="60"/>
      <w:r>
        <w:t>3</w:t>
      </w:r>
      <w:r>
        <w:tab/>
      </w:r>
      <w:r>
        <w:rPr>
          <w:noProof/>
        </w:rPr>
        <w:t xml:space="preserve">Potrzeba ustanowienia nowych europejskich ram interoperacyjności </w:t>
      </w:r>
      <w:bookmarkEnd w:id="61"/>
    </w:p>
    <w:p>
      <w:pPr>
        <w:spacing w:line="312" w:lineRule="auto"/>
        <w:jc w:val="both"/>
        <w:rPr>
          <w:rFonts w:ascii="Times New Roman" w:hAnsi="Times New Roman" w:cs="Times New Roman"/>
          <w:noProof/>
          <w:sz w:val="24"/>
          <w:szCs w:val="24"/>
        </w:rPr>
      </w:pPr>
      <w:r>
        <w:rPr>
          <w:rFonts w:ascii="Times New Roman" w:hAnsi="Times New Roman"/>
          <w:noProof/>
          <w:sz w:val="24"/>
        </w:rPr>
        <w:t xml:space="preserve">Aby zaradzić zidentyfikowanym wyzwaniom związanym z interoperacyjnością, Komisja przedstawia w niniejszym komunikacie nowe europejskie ramy interoperacyjności i strategię ich wdrażania. </w:t>
      </w:r>
    </w:p>
    <w:p>
      <w:pPr>
        <w:spacing w:line="312" w:lineRule="auto"/>
        <w:jc w:val="both"/>
        <w:rPr>
          <w:rFonts w:ascii="Times New Roman" w:hAnsi="Times New Roman"/>
          <w:noProof/>
          <w:color w:val="00B050"/>
          <w:sz w:val="24"/>
          <w:szCs w:val="24"/>
        </w:rPr>
      </w:pPr>
      <w:r>
        <w:rPr>
          <w:rFonts w:ascii="Times New Roman" w:hAnsi="Times New Roman"/>
          <w:noProof/>
          <w:sz w:val="24"/>
        </w:rPr>
        <w:t xml:space="preserve">W nowych </w:t>
      </w:r>
      <w:r>
        <w:rPr>
          <w:rFonts w:ascii="Times New Roman" w:hAnsi="Times New Roman"/>
          <w:noProof/>
          <w:color w:val="000000"/>
          <w:sz w:val="24"/>
        </w:rPr>
        <w:t>europejskich ramach interoperacyjności</w:t>
      </w:r>
      <w:r>
        <w:rPr>
          <w:rFonts w:ascii="Times New Roman" w:hAnsi="Times New Roman"/>
          <w:noProof/>
          <w:sz w:val="24"/>
        </w:rPr>
        <w:t xml:space="preserve"> kładzie się większy nacisk na sposób, w jaki zasady i modele interoperacyjności należy stosować w praktyce, oraz uwzględnia się powstające potrzeby związane z polityką i technologią. Liczba zaleceń wzrosła z 25 do 47. Zalecenia mają bardziej konkretny charakter, co ma ułatwić ich wdrażanie. W większym stopniu skupiono się na zarządzaniu otwartością i informacjami, możliwości przenoszenia danych, zarządzaniu interoperacyjnością oraz zintegrowanym świadczeniu usług</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w:t>
      </w:r>
    </w:p>
    <w:p>
      <w:pPr>
        <w:spacing w:line="312" w:lineRule="auto"/>
        <w:jc w:val="both"/>
        <w:rPr>
          <w:rFonts w:ascii="Times New Roman" w:hAnsi="Times New Roman" w:cs="Times New Roman"/>
          <w:noProof/>
          <w:sz w:val="24"/>
          <w:szCs w:val="24"/>
        </w:rPr>
      </w:pPr>
      <w:r>
        <w:rPr>
          <w:rFonts w:ascii="Times New Roman" w:hAnsi="Times New Roman"/>
          <w:noProof/>
          <w:sz w:val="24"/>
        </w:rPr>
        <w:t xml:space="preserve">Wdrażanie </w:t>
      </w:r>
      <w:r>
        <w:rPr>
          <w:rFonts w:ascii="Times New Roman" w:hAnsi="Times New Roman"/>
          <w:noProof/>
          <w:color w:val="000000"/>
          <w:sz w:val="24"/>
        </w:rPr>
        <w:t>europejskich ram interoperacyjności</w:t>
      </w:r>
      <w:r>
        <w:rPr>
          <w:rFonts w:ascii="Times New Roman" w:hAnsi="Times New Roman"/>
          <w:noProof/>
          <w:sz w:val="24"/>
        </w:rPr>
        <w:t xml:space="preserve"> oparte jest na następującej wizji: „Administracje publiczne powinny świadczyć przedsiębiorstwom i obywatelom kluczowe interoperacyjne cyfrowe usługi publiczne zorientowane na użytkownika na poziomie krajowym i unijnym, wspierając swobodny przepływ towarów, osób, usług i danych w całej Unii”.</w:t>
      </w:r>
      <w:r>
        <w:rPr>
          <w:rFonts w:ascii="Times New Roman" w:hAnsi="Times New Roman"/>
          <w:b/>
          <w:noProof/>
          <w:sz w:val="24"/>
        </w:rPr>
        <w:t xml:space="preserve"> </w:t>
      </w:r>
      <w:r>
        <w:rPr>
          <w:rFonts w:ascii="Times New Roman" w:hAnsi="Times New Roman"/>
          <w:noProof/>
          <w:sz w:val="24"/>
        </w:rPr>
        <w:t>Wizja ta została powszechnie poparta</w:t>
      </w:r>
      <w:r>
        <w:rPr>
          <w:rStyle w:val="FootnoteReference"/>
          <w:rFonts w:ascii="Times New Roman" w:hAnsi="Times New Roman"/>
          <w:noProof/>
          <w:sz w:val="24"/>
        </w:rPr>
        <w:footnoteReference w:id="20"/>
      </w:r>
      <w:r>
        <w:rPr>
          <w:rFonts w:ascii="Times New Roman" w:hAnsi="Times New Roman"/>
          <w:noProof/>
          <w:sz w:val="24"/>
        </w:rPr>
        <w:t xml:space="preserve"> przez przedstawicieli państw członkowskich w komitetach ISA i ISA², administracje publiczne oraz inne zainteresowane strony, z którymi prowadzono konsultacje.</w:t>
      </w:r>
    </w:p>
    <w:p>
      <w:pPr>
        <w:spacing w:line="312" w:lineRule="auto"/>
        <w:jc w:val="both"/>
        <w:rPr>
          <w:rFonts w:ascii="Times New Roman" w:hAnsi="Times New Roman" w:cs="Times New Roman"/>
          <w:noProof/>
          <w:sz w:val="24"/>
          <w:szCs w:val="24"/>
        </w:rPr>
      </w:pPr>
      <w:r>
        <w:rPr>
          <w:rFonts w:ascii="Times New Roman" w:hAnsi="Times New Roman"/>
          <w:noProof/>
          <w:sz w:val="24"/>
        </w:rPr>
        <w:t xml:space="preserve">Niniejszemu komunikatowi towarzyszy plan działania na rzecz interoperacyjności (zamieszczony w załączniku 1), podzielony na pięć strategicznych celów szczegółowych. </w:t>
      </w:r>
      <w:bookmarkStart w:id="62" w:name="_Ref452475763"/>
      <w:bookmarkStart w:id="63" w:name="_Toc452538134"/>
      <w:r>
        <w:rPr>
          <w:rFonts w:ascii="Times New Roman" w:hAnsi="Times New Roman"/>
          <w:noProof/>
          <w:sz w:val="24"/>
        </w:rPr>
        <w:t>Plan ten jest oparty na priorytetach interoperacyjności, które powinny wspomóc wdrażanie europejskich ram interoperacyjności w latach 2016–2020.</w:t>
      </w:r>
    </w:p>
    <w:p>
      <w:pPr>
        <w:spacing w:line="312" w:lineRule="auto"/>
        <w:jc w:val="both"/>
        <w:rPr>
          <w:rFonts w:ascii="Times New Roman" w:hAnsi="Times New Roman" w:cs="Times New Roman"/>
          <w:noProof/>
          <w:sz w:val="24"/>
          <w:szCs w:val="24"/>
        </w:rPr>
      </w:pPr>
      <w:r>
        <w:rPr>
          <w:rFonts w:ascii="Times New Roman" w:hAnsi="Times New Roman"/>
          <w:noProof/>
          <w:sz w:val="24"/>
        </w:rPr>
        <w:t xml:space="preserve">We wdrażaniu europejskich ram interoperacyjności należy kierować się planem działania na rzecz interoperacyjności. Ponadto od państw członkowskich oczekuje się, że uzupełnią działania na poziomie UE (określone w planie działania na rzecz interoperacyjności) działaniami krajowymi, zapewniając w ten sposób spójność niezbędną dla udanego stosowania interoperacyjności w sektorze publicznym w Unii. Plan działania na rzecz interoperacyjności dotyczy kwestii związanych z identyfikacją trwałych mechanizmów zarządzania interoperacyjnością na poziomie krajowym i w wymiarze transgranicznym, współpracą między organizacjami, zaangażowaniem zainteresowanych stron oraz podnoszeniem świadomości na temat korzyści płynących z interoperacyjności. Obejmuje również opracowywanie, ulepszanie i promowanie kluczowych czynników umożliwiających interoperacyjność oraz instrumentów wspierających, przy jednoczesnym uwzględnieniu potrzeb i priorytetów użytkowników końcowych. </w:t>
      </w:r>
    </w:p>
    <w:p>
      <w:pPr>
        <w:pStyle w:val="ManualHeading1"/>
        <w:rPr>
          <w:noProof/>
        </w:rPr>
      </w:pPr>
      <w:bookmarkStart w:id="64" w:name="_Toc463449735"/>
      <w:bookmarkStart w:id="65" w:name="_Toc463451485"/>
      <w:bookmarkStart w:id="66" w:name="_Toc463452139"/>
      <w:bookmarkStart w:id="67" w:name="_Toc463458177"/>
      <w:bookmarkStart w:id="68" w:name="_Toc463449736"/>
      <w:bookmarkStart w:id="69" w:name="_Toc463451486"/>
      <w:bookmarkStart w:id="70" w:name="_Toc463452140"/>
      <w:bookmarkStart w:id="71" w:name="_Toc463458178"/>
      <w:bookmarkStart w:id="72" w:name="_Toc463449737"/>
      <w:bookmarkStart w:id="73" w:name="_Toc463451487"/>
      <w:bookmarkStart w:id="74" w:name="_Toc463452141"/>
      <w:bookmarkStart w:id="75" w:name="_Toc463458179"/>
      <w:bookmarkStart w:id="76" w:name="_Toc463449738"/>
      <w:bookmarkStart w:id="77" w:name="_Toc463451488"/>
      <w:bookmarkStart w:id="78" w:name="_Toc463452142"/>
      <w:bookmarkStart w:id="79" w:name="_Toc463458180"/>
      <w:bookmarkStart w:id="80" w:name="_Toc463449739"/>
      <w:bookmarkStart w:id="81" w:name="_Toc463451489"/>
      <w:bookmarkStart w:id="82" w:name="_Toc463452143"/>
      <w:bookmarkStart w:id="83" w:name="_Toc463458181"/>
      <w:bookmarkStart w:id="84" w:name="_Toc465177309"/>
      <w:bookmarkStart w:id="85" w:name="_Toc465177648"/>
      <w:bookmarkStart w:id="86" w:name="_Toc46542123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4</w:t>
      </w:r>
      <w:r>
        <w:tab/>
      </w:r>
      <w:r>
        <w:rPr>
          <w:noProof/>
        </w:rPr>
        <w:t>Główne obszary tematyczne</w:t>
      </w:r>
      <w:bookmarkEnd w:id="84"/>
      <w:bookmarkEnd w:id="85"/>
      <w:bookmarkEnd w:id="86"/>
    </w:p>
    <w:p>
      <w:pPr>
        <w:pStyle w:val="ManualHeading2"/>
        <w:rPr>
          <w:noProof/>
        </w:rPr>
      </w:pPr>
      <w:r>
        <w:t>4.1</w:t>
      </w:r>
      <w:r>
        <w:tab/>
      </w:r>
      <w:r>
        <w:rPr>
          <w:noProof/>
        </w:rPr>
        <w:t>Zapewnienie zarządzania i dzielenia się inicjatywami w zakresie interoperacyjności oraz koordynacji tych inicjatyw</w:t>
      </w:r>
    </w:p>
    <w:p>
      <w:pPr>
        <w:pStyle w:val="Text2"/>
        <w:spacing w:line="312" w:lineRule="auto"/>
        <w:ind w:left="0"/>
        <w:rPr>
          <w:noProof/>
        </w:rPr>
      </w:pPr>
      <w:r>
        <w:rPr>
          <w:noProof/>
        </w:rPr>
        <w:t>Dążenie do zapewnienia interoperacyjności administracji publicznych wymaga istnienia organów zarządzających i koordynujących oraz procesów planowania, wdrażania i stosowania rozwiązań interoperacyjnych zarówno na poziomie krajowym, jak i w całej Unii.</w:t>
      </w:r>
    </w:p>
    <w:p>
      <w:pPr>
        <w:spacing w:line="312" w:lineRule="auto"/>
        <w:jc w:val="both"/>
        <w:rPr>
          <w:rFonts w:ascii="Times New Roman" w:hAnsi="Times New Roman" w:cs="Times New Roman"/>
          <w:noProof/>
          <w:sz w:val="24"/>
          <w:szCs w:val="24"/>
        </w:rPr>
      </w:pPr>
      <w:r>
        <w:rPr>
          <w:rFonts w:ascii="Times New Roman" w:hAnsi="Times New Roman"/>
          <w:noProof/>
          <w:sz w:val="24"/>
        </w:rPr>
        <w:t xml:space="preserve">W tym kontekście kluczowa rola Komisja i państw członkowskich obejmuje dwa aspekty: </w:t>
      </w:r>
    </w:p>
    <w:p>
      <w:pPr>
        <w:pStyle w:val="ListParagraph"/>
        <w:numPr>
          <w:ilvl w:val="0"/>
          <w:numId w:val="38"/>
        </w:numPr>
        <w:spacing w:line="312" w:lineRule="auto"/>
        <w:rPr>
          <w:noProof/>
        </w:rPr>
      </w:pPr>
      <w:r>
        <w:rPr>
          <w:noProof/>
        </w:rPr>
        <w:t>zarządzanie i dzielenie się wszystkimi inicjatywami w zakresie interoperacyjności</w:t>
      </w:r>
      <w:r>
        <w:rPr>
          <w:rStyle w:val="FootnoteReference"/>
          <w:noProof/>
        </w:rPr>
        <w:footnoteReference w:id="21"/>
      </w:r>
      <w:r>
        <w:rPr>
          <w:noProof/>
        </w:rPr>
        <w:t xml:space="preserve"> na poziomie krajowym i unijnym oraz koordynowanie ich w celu zapewnienia, aby administracje publiczne stosowały się do zasad i zaleceń zawartych w europejskich ramach interoperacyjności</w:t>
      </w:r>
      <w:r>
        <w:rPr>
          <w:rStyle w:val="FootnoteReference"/>
          <w:noProof/>
        </w:rPr>
        <w:footnoteReference w:id="22"/>
      </w:r>
      <w:r>
        <w:rPr>
          <w:noProof/>
        </w:rPr>
        <w:t xml:space="preserve">; </w:t>
      </w:r>
    </w:p>
    <w:p>
      <w:pPr>
        <w:pStyle w:val="ListParagraph"/>
        <w:numPr>
          <w:ilvl w:val="0"/>
          <w:numId w:val="38"/>
        </w:numPr>
        <w:spacing w:line="312" w:lineRule="auto"/>
        <w:rPr>
          <w:noProof/>
        </w:rPr>
      </w:pPr>
      <w:r>
        <w:rPr>
          <w:noProof/>
        </w:rPr>
        <w:t xml:space="preserve">propagowanie lepszej współpracy na wszystkich poziomach administracji publicznych w Unii oraz likwidowanie utrzymujących się zatorów organizacyjnych i cyfrowych. </w:t>
      </w:r>
    </w:p>
    <w:p>
      <w:pPr>
        <w:spacing w:line="312" w:lineRule="auto"/>
        <w:jc w:val="both"/>
        <w:rPr>
          <w:rFonts w:ascii="Times New Roman" w:hAnsi="Times New Roman" w:cs="Times New Roman"/>
          <w:noProof/>
          <w:sz w:val="24"/>
          <w:szCs w:val="24"/>
        </w:rPr>
      </w:pPr>
      <w:r>
        <w:rPr>
          <w:rFonts w:ascii="Times New Roman" w:hAnsi="Times New Roman"/>
          <w:noProof/>
          <w:sz w:val="24"/>
        </w:rPr>
        <w:t>Komisja i państwa członkowskie powinny wdrożyć europejskie ramy interoperacyjności. Komisja będzie monitorowała wdrażanie europejskich ram interoperacyjności za pośrednictwem programu ISA²</w:t>
      </w:r>
      <w:r>
        <w:rPr>
          <w:rStyle w:val="FootnoteReference"/>
          <w:rFonts w:ascii="Times New Roman" w:hAnsi="Times New Roman"/>
          <w:noProof/>
          <w:sz w:val="24"/>
        </w:rPr>
        <w:footnoteReference w:id="23"/>
      </w:r>
      <w:r>
        <w:rPr>
          <w:noProof/>
        </w:rPr>
        <w:t>.</w:t>
      </w:r>
    </w:p>
    <w:p>
      <w:pPr>
        <w:spacing w:line="312" w:lineRule="auto"/>
        <w:jc w:val="both"/>
        <w:rPr>
          <w:noProof/>
        </w:rPr>
      </w:pPr>
      <w:r>
        <w:rPr>
          <w:rFonts w:ascii="Times New Roman" w:hAnsi="Times New Roman"/>
          <w:noProof/>
          <w:sz w:val="24"/>
        </w:rPr>
        <w:t>Program ISA² będzie odgrywał kluczową rolę w opracowywaniu, tworzeniu, ostatecznym kształtowaniu, stosowaniu, ponownym wykorzystywaniu, doskonaleniu i promowaniu rozwiązań interoperacyjnych ułatwiających współpracę między administracjami publicznymi. Komisja, przy wsparciu w ramach programu ISA², zapewni odpowiednie</w:t>
      </w:r>
      <w:r>
        <w:rPr>
          <w:rFonts w:ascii="Times New Roman" w:hAnsi="Times New Roman"/>
          <w:noProof/>
          <w:color w:val="000000" w:themeColor="text1"/>
          <w:sz w:val="24"/>
        </w:rPr>
        <w:t xml:space="preserve"> zarządzanie interoperacyjnością, będzie klasyfikowała i promowała rozwiązania interoperacyjne oraz koordynowała różne inicjatywy UE w zakresie interoperacyjności</w:t>
      </w:r>
      <w:r>
        <w:rPr>
          <w:rStyle w:val="FootnoteReference"/>
          <w:rFonts w:ascii="Times New Roman" w:hAnsi="Times New Roman"/>
          <w:noProof/>
          <w:sz w:val="24"/>
        </w:rPr>
        <w:footnoteReference w:id="24"/>
      </w:r>
      <w:r>
        <w:rPr>
          <w:noProof/>
        </w:rPr>
        <w:t>.</w:t>
      </w:r>
    </w:p>
    <w:p>
      <w:pPr>
        <w:pStyle w:val="ManualHeading2"/>
        <w:rPr>
          <w:noProof/>
        </w:rPr>
      </w:pPr>
      <w:r>
        <w:t>4.2</w:t>
      </w:r>
      <w:r>
        <w:tab/>
      </w:r>
      <w:r>
        <w:rPr>
          <w:noProof/>
        </w:rPr>
        <w:t>Opracowywanie rozwiązań w zakresie interoperacyjności organizacyjnej</w:t>
      </w:r>
    </w:p>
    <w:p>
      <w:pPr>
        <w:spacing w:line="312" w:lineRule="auto"/>
        <w:jc w:val="both"/>
        <w:rPr>
          <w:rFonts w:ascii="Times New Roman" w:hAnsi="Times New Roman" w:cs="Times New Roman"/>
          <w:noProof/>
          <w:sz w:val="24"/>
          <w:szCs w:val="24"/>
        </w:rPr>
      </w:pPr>
      <w:r>
        <w:rPr>
          <w:rFonts w:ascii="Times New Roman" w:hAnsi="Times New Roman"/>
          <w:noProof/>
          <w:sz w:val="24"/>
        </w:rPr>
        <w:t>Przedsiębiorstwa i obywatele powinni odnosić korzyści z interoperacyjnych usług publicznych dzięki lepszej integracji procesów biznesowych i wymianie informacji między administracjami publicznymi w Unii.</w:t>
      </w:r>
    </w:p>
    <w:p>
      <w:pPr>
        <w:spacing w:line="312" w:lineRule="auto"/>
        <w:jc w:val="both"/>
        <w:rPr>
          <w:rFonts w:ascii="Times New Roman" w:hAnsi="Times New Roman" w:cs="Times New Roman"/>
          <w:noProof/>
          <w:sz w:val="24"/>
          <w:szCs w:val="24"/>
        </w:rPr>
      </w:pPr>
      <w:r>
        <w:rPr>
          <w:rFonts w:ascii="Times New Roman" w:hAnsi="Times New Roman"/>
          <w:noProof/>
          <w:sz w:val="24"/>
        </w:rPr>
        <w:t>W tym kontekście interoperacyjność organizacyjna oznacza integrację lub dostosowanie procedur działania między organizacjami oraz sformalizowanie relacji między usługodawcami a konsumentami europejskich usług publicznych.</w:t>
      </w:r>
    </w:p>
    <w:p>
      <w:pPr>
        <w:pStyle w:val="ManualHeading2"/>
        <w:rPr>
          <w:noProof/>
        </w:rPr>
      </w:pPr>
      <w:r>
        <w:t>4.3</w:t>
      </w:r>
      <w:r>
        <w:tab/>
      </w:r>
      <w:r>
        <w:rPr>
          <w:noProof/>
        </w:rPr>
        <w:t>Angażowanie zainteresowanych stron i upowszechnianie wiedzy na temat interoperacyjności</w:t>
      </w:r>
    </w:p>
    <w:p>
      <w:pPr>
        <w:keepNext/>
        <w:keepLines/>
        <w:widowControl w:val="0"/>
        <w:spacing w:line="312" w:lineRule="auto"/>
        <w:jc w:val="both"/>
        <w:rPr>
          <w:rFonts w:ascii="Times New Roman" w:hAnsi="Times New Roman" w:cs="Times New Roman"/>
          <w:noProof/>
          <w:sz w:val="24"/>
          <w:szCs w:val="24"/>
        </w:rPr>
      </w:pPr>
      <w:r>
        <w:rPr>
          <w:rFonts w:ascii="Times New Roman" w:hAnsi="Times New Roman"/>
          <w:noProof/>
          <w:sz w:val="24"/>
        </w:rPr>
        <w:t>Każda inicjatywa w zakresie interoperacyjności powinna mieć konkretne uzasadnienie biznesowe wskazujące, że interoperacyjność jest warta inwestycji i że potrzeby użytkowników są lepiej zaspokajane, gdy systemy informacyjne mogą komunikować się ze sobą.</w:t>
      </w:r>
    </w:p>
    <w:p>
      <w:pPr>
        <w:keepNext/>
        <w:keepLines/>
        <w:widowControl w:val="0"/>
        <w:spacing w:line="312" w:lineRule="auto"/>
        <w:jc w:val="both"/>
        <w:rPr>
          <w:rFonts w:ascii="Times New Roman" w:hAnsi="Times New Roman" w:cs="Times New Roman"/>
          <w:noProof/>
          <w:sz w:val="24"/>
          <w:szCs w:val="24"/>
        </w:rPr>
      </w:pPr>
      <w:r>
        <w:rPr>
          <w:rFonts w:ascii="Times New Roman" w:hAnsi="Times New Roman"/>
          <w:noProof/>
          <w:sz w:val="24"/>
        </w:rPr>
        <w:t>W związku z tym administracje publiczne powinny:</w:t>
      </w:r>
    </w:p>
    <w:p>
      <w:pPr>
        <w:pStyle w:val="ListParagraph"/>
        <w:keepNext/>
        <w:keepLines/>
        <w:widowControl w:val="0"/>
        <w:numPr>
          <w:ilvl w:val="0"/>
          <w:numId w:val="37"/>
        </w:numPr>
        <w:spacing w:line="312" w:lineRule="auto"/>
        <w:rPr>
          <w:noProof/>
        </w:rPr>
      </w:pPr>
      <w:r>
        <w:rPr>
          <w:noProof/>
        </w:rPr>
        <w:t>mierzyć główne korzyści, które można byłoby osiągnąć dzięki stosowaniu zasad i zaleceń zawartych w europejskich ramach interoperacyjności, oraz informować o tych korzyściach;</w:t>
      </w:r>
    </w:p>
    <w:p>
      <w:pPr>
        <w:pStyle w:val="ListParagraph"/>
        <w:keepNext/>
        <w:keepLines/>
        <w:widowControl w:val="0"/>
        <w:numPr>
          <w:ilvl w:val="0"/>
          <w:numId w:val="37"/>
        </w:numPr>
        <w:spacing w:line="312" w:lineRule="auto"/>
        <w:rPr>
          <w:noProof/>
        </w:rPr>
      </w:pPr>
      <w:r>
        <w:rPr>
          <w:noProof/>
        </w:rPr>
        <w:t>propagować stosowanie europejskich ram interoperacyjności i proponowanych w nich rozwiązań.</w:t>
      </w:r>
    </w:p>
    <w:p>
      <w:pPr>
        <w:jc w:val="both"/>
        <w:rPr>
          <w:noProof/>
        </w:rPr>
      </w:pPr>
      <w:r>
        <w:rPr>
          <w:rFonts w:ascii="Times New Roman" w:hAnsi="Times New Roman"/>
          <w:noProof/>
          <w:sz w:val="24"/>
        </w:rPr>
        <w:t>Jako użytkownicy końcowi przedsiębiorstwa i obywatele również powinni uczestniczyć w opracowywaniu, analizowaniu, ocenianiu i zmienianiu europejskich usług publicznych. Dlatego też plan działania na rzecz interoperacyjności obejmuje konkretne działanie dotyczące zaangażowania użytkowników, którego celem jest zbieranie opinii i informacji o potrzebach przedsiębiorstw i obywateli (w tym osób niepełnosprawnych) w sposób oparty na uczestnictwie i współpracy. Komisja i państwa członkowskie powinny w miarę możliwości kierować opracowywaniem i rozwijaniem usług publicznych na podstawie potrzeb użytkowników.</w:t>
      </w:r>
    </w:p>
    <w:p>
      <w:pPr>
        <w:pStyle w:val="ManualHeading2"/>
        <w:rPr>
          <w:noProof/>
        </w:rPr>
      </w:pPr>
      <w:r>
        <w:t>4.4</w:t>
      </w:r>
      <w:r>
        <w:tab/>
      </w:r>
      <w:r>
        <w:rPr>
          <w:noProof/>
        </w:rPr>
        <w:t>Opracowanie, utrzymywanie i promowanie kluczowych czynników umożliwiających interoperacyjność</w:t>
      </w:r>
    </w:p>
    <w:p>
      <w:pPr>
        <w:jc w:val="both"/>
        <w:rPr>
          <w:rFonts w:ascii="Times New Roman" w:hAnsi="Times New Roman" w:cs="Times New Roman"/>
          <w:bCs/>
          <w:noProof/>
          <w:sz w:val="24"/>
          <w:szCs w:val="24"/>
        </w:rPr>
      </w:pPr>
      <w:r>
        <w:rPr>
          <w:rFonts w:ascii="Times New Roman" w:hAnsi="Times New Roman"/>
          <w:noProof/>
          <w:sz w:val="24"/>
        </w:rPr>
        <w:t>Obecnie administracje publiczne zarządzają dużymi ilościami danych w różnych formatach, stosując różne metody zarządzania danymi, przechowując wiele kopii w różnych repozytoriach i często publikując dane na portalach w całej Europie bez harmonizacji pod względem treści i sposobu prezentacji. To wyjaśnia, dlaczego administracje publiczne ponownie wykorzystują informacje o obywatelach i przedsiębiorstwach zaledwie w 48 % przypadków</w:t>
      </w:r>
      <w:r>
        <w:rPr>
          <w:rStyle w:val="FootnoteReference"/>
          <w:rFonts w:ascii="Times New Roman" w:hAnsi="Times New Roman"/>
          <w:noProof/>
          <w:sz w:val="24"/>
        </w:rPr>
        <w:footnoteReference w:id="25"/>
      </w:r>
      <w:r>
        <w:rPr>
          <w:noProof/>
        </w:rPr>
        <w:t>.</w:t>
      </w:r>
      <w:r>
        <w:rPr>
          <w:rFonts w:ascii="Times New Roman" w:hAnsi="Times New Roman"/>
          <w:noProof/>
          <w:sz w:val="24"/>
        </w:rPr>
        <w:t xml:space="preserve"> W efekcie świadczenie usług publicznych obywatelom i przedsiębiorstwom jest często uciążliwe i czasochłonne. Może również budzić wątpliwości odnośnie do zaufania w związku z ochroną danych.</w:t>
      </w:r>
    </w:p>
    <w:p>
      <w:pPr>
        <w:jc w:val="both"/>
        <w:rPr>
          <w:rFonts w:ascii="Times New Roman" w:hAnsi="Times New Roman" w:cs="Times New Roman"/>
          <w:bCs/>
          <w:iCs/>
          <w:noProof/>
          <w:szCs w:val="28"/>
        </w:rPr>
      </w:pPr>
      <w:r>
        <w:rPr>
          <w:rFonts w:ascii="Times New Roman" w:hAnsi="Times New Roman"/>
          <w:noProof/>
          <w:sz w:val="24"/>
        </w:rPr>
        <w:t>Aby poprawić jakość europejskich usług publicznych świadczonych cyfrowo użytkownikom końcowym, Komisja i państwa członkowskie powinny zdefiniować, opracować, udoskonalić, wprowadzić, utrzymywać i promować zbiór kluczowych czynników umożliwiających interoperacyjność</w:t>
      </w:r>
      <w:r>
        <w:rPr>
          <w:rStyle w:val="FootnoteReference"/>
          <w:rFonts w:ascii="Times New Roman" w:hAnsi="Times New Roman"/>
          <w:noProof/>
          <w:sz w:val="24"/>
        </w:rPr>
        <w:footnoteReference w:id="26"/>
      </w:r>
      <w:r>
        <w:rPr>
          <w:rFonts w:ascii="Times New Roman" w:hAnsi="Times New Roman"/>
          <w:noProof/>
          <w:sz w:val="24"/>
        </w:rPr>
        <w:t xml:space="preserve">, zapewniając jednocześnie bezpieczeństwo wymienianych danych. </w:t>
      </w:r>
    </w:p>
    <w:p>
      <w:pPr>
        <w:pStyle w:val="ManualHeading2"/>
        <w:rPr>
          <w:noProof/>
        </w:rPr>
      </w:pPr>
      <w:r>
        <w:t>4.5</w:t>
      </w:r>
      <w:r>
        <w:tab/>
      </w:r>
      <w:r>
        <w:rPr>
          <w:noProof/>
        </w:rPr>
        <w:t>Opracowanie, utrzymywanie i propagowanie instrumentów wspierających interoperacyjność</w:t>
      </w:r>
    </w:p>
    <w:p>
      <w:pPr>
        <w:widowControl w:val="0"/>
        <w:spacing w:line="312" w:lineRule="auto"/>
        <w:jc w:val="both"/>
        <w:rPr>
          <w:rFonts w:ascii="Times New Roman" w:hAnsi="Times New Roman" w:cs="Times New Roman"/>
          <w:bCs/>
          <w:noProof/>
          <w:sz w:val="24"/>
          <w:szCs w:val="24"/>
        </w:rPr>
      </w:pPr>
      <w:r>
        <w:rPr>
          <w:rFonts w:ascii="Times New Roman" w:hAnsi="Times New Roman"/>
          <w:noProof/>
          <w:sz w:val="24"/>
        </w:rPr>
        <w:t xml:space="preserve">Przy opracowywaniu, wdrażaniu i stosowaniu rozwiązań interoperacyjnych państwa członkowskie potrzebują wsparcia w postaci praktycznych instrumentów, tj. narzędzi, ram, wytycznych i specyfikacji, które są niezbędne do osiągnięcia interoperacyjności na poziomie krajowym i transgranicznym. Komisja i państwa członkowskie powinny promować ponowne wykorzystywanie istniejących instrumentów i w dalszym stopniu rozwijać nowe instrumenty, a w szczególności: </w:t>
      </w:r>
    </w:p>
    <w:p>
      <w:pPr>
        <w:pStyle w:val="ListParagraph"/>
        <w:keepNext/>
        <w:keepLines/>
        <w:widowControl w:val="0"/>
        <w:numPr>
          <w:ilvl w:val="0"/>
          <w:numId w:val="36"/>
        </w:numPr>
        <w:spacing w:line="312" w:lineRule="auto"/>
        <w:rPr>
          <w:noProof/>
        </w:rPr>
      </w:pPr>
      <w:r>
        <w:rPr>
          <w:noProof/>
        </w:rPr>
        <w:t>europejską referencyjną architekturę interoperacyjności oraz europejską kartografię interoperacyjności</w:t>
      </w:r>
      <w:r>
        <w:rPr>
          <w:rStyle w:val="FootnoteReference"/>
          <w:noProof/>
        </w:rPr>
        <w:footnoteReference w:id="27"/>
      </w:r>
      <w:r>
        <w:rPr>
          <w:noProof/>
        </w:rPr>
        <w:t xml:space="preserve">; </w:t>
      </w:r>
    </w:p>
    <w:p>
      <w:pPr>
        <w:pStyle w:val="ListParagraph"/>
        <w:keepNext/>
        <w:keepLines/>
        <w:widowControl w:val="0"/>
        <w:numPr>
          <w:ilvl w:val="0"/>
          <w:numId w:val="36"/>
        </w:numPr>
        <w:spacing w:line="312" w:lineRule="auto"/>
        <w:rPr>
          <w:noProof/>
        </w:rPr>
      </w:pPr>
      <w:r>
        <w:rPr>
          <w:noProof/>
        </w:rPr>
        <w:t>sposoby oceniania konsekwencji przepisów Unii w obszarze ICT</w:t>
      </w:r>
      <w:r>
        <w:rPr>
          <w:rStyle w:val="FootnoteReference"/>
          <w:noProof/>
        </w:rPr>
        <w:footnoteReference w:id="28"/>
      </w:r>
      <w:r>
        <w:rPr>
          <w:noProof/>
        </w:rPr>
        <w:t xml:space="preserve"> oraz wskazywania szkodzących interoperacyjności luk w przepisach</w:t>
      </w:r>
      <w:r>
        <w:rPr>
          <w:rStyle w:val="FootnoteReference"/>
          <w:noProof/>
        </w:rPr>
        <w:footnoteReference w:id="29"/>
      </w:r>
      <w:r>
        <w:rPr>
          <w:noProof/>
        </w:rPr>
        <w:t xml:space="preserve">; </w:t>
      </w:r>
    </w:p>
    <w:p>
      <w:pPr>
        <w:pStyle w:val="ListParagraph"/>
        <w:keepNext/>
        <w:keepLines/>
        <w:widowControl w:val="0"/>
        <w:numPr>
          <w:ilvl w:val="0"/>
          <w:numId w:val="36"/>
        </w:numPr>
        <w:spacing w:line="312" w:lineRule="auto"/>
        <w:rPr>
          <w:noProof/>
        </w:rPr>
      </w:pPr>
      <w:r>
        <w:rPr>
          <w:noProof/>
        </w:rPr>
        <w:t>„ramy dzielenia się rozwiązaniami IT i ponownego wykorzystywania takich rozwiązań” opracowane w ramach programu ISA² w celu promowania i ulepszania dzielenia się rozwiązaniami IT (w tym otwartym oprogramowaniem) przez administracje publiczne oraz wspólnego opracowywania i ponownego wykorzystywania takich rozwiązań.</w:t>
      </w:r>
    </w:p>
    <w:p>
      <w:pPr>
        <w:pStyle w:val="ManualHeading1"/>
        <w:rPr>
          <w:noProof/>
        </w:rPr>
      </w:pPr>
      <w:bookmarkStart w:id="87" w:name="_Toc435047749"/>
      <w:bookmarkStart w:id="88" w:name="_Toc435048237"/>
      <w:bookmarkStart w:id="89" w:name="_Toc435089888"/>
      <w:bookmarkStart w:id="90" w:name="_Toc435047750"/>
      <w:bookmarkStart w:id="91" w:name="_Toc435048238"/>
      <w:bookmarkStart w:id="92" w:name="_Toc435089889"/>
      <w:bookmarkStart w:id="93" w:name="_Toc435047751"/>
      <w:bookmarkStart w:id="94" w:name="_Toc435048239"/>
      <w:bookmarkStart w:id="95" w:name="_Toc435089890"/>
      <w:bookmarkStart w:id="96" w:name="_Toc435047752"/>
      <w:bookmarkStart w:id="97" w:name="_Toc435048240"/>
      <w:bookmarkStart w:id="98" w:name="_Toc435089891"/>
      <w:bookmarkStart w:id="99" w:name="_Toc452538141"/>
      <w:bookmarkStart w:id="100" w:name="_Toc465177310"/>
      <w:bookmarkStart w:id="101" w:name="_Toc465177649"/>
      <w:bookmarkStart w:id="102" w:name="_Toc465421233"/>
      <w:bookmarkEnd w:id="62"/>
      <w:bookmarkEnd w:id="63"/>
      <w:bookmarkEnd w:id="87"/>
      <w:bookmarkEnd w:id="88"/>
      <w:bookmarkEnd w:id="89"/>
      <w:bookmarkEnd w:id="90"/>
      <w:bookmarkEnd w:id="91"/>
      <w:bookmarkEnd w:id="92"/>
      <w:bookmarkEnd w:id="93"/>
      <w:bookmarkEnd w:id="94"/>
      <w:bookmarkEnd w:id="95"/>
      <w:bookmarkEnd w:id="96"/>
      <w:bookmarkEnd w:id="97"/>
      <w:bookmarkEnd w:id="98"/>
      <w:r>
        <w:t>5</w:t>
      </w:r>
      <w:r>
        <w:tab/>
      </w:r>
      <w:r>
        <w:rPr>
          <w:noProof/>
        </w:rPr>
        <w:t xml:space="preserve">Instrumenty </w:t>
      </w:r>
      <w:bookmarkEnd w:id="46"/>
      <w:bookmarkEnd w:id="47"/>
      <w:bookmarkEnd w:id="48"/>
      <w:r>
        <w:rPr>
          <w:noProof/>
        </w:rPr>
        <w:t>finansowe</w:t>
      </w:r>
      <w:bookmarkEnd w:id="99"/>
      <w:bookmarkEnd w:id="100"/>
      <w:bookmarkEnd w:id="101"/>
      <w:bookmarkEnd w:id="102"/>
    </w:p>
    <w:p>
      <w:pPr>
        <w:spacing w:line="312" w:lineRule="auto"/>
        <w:jc w:val="both"/>
        <w:rPr>
          <w:rFonts w:ascii="Times New Roman" w:hAnsi="Times New Roman" w:cs="Times New Roman"/>
          <w:noProof/>
          <w:sz w:val="24"/>
          <w:szCs w:val="24"/>
        </w:rPr>
      </w:pPr>
      <w:r>
        <w:rPr>
          <w:rFonts w:ascii="Times New Roman" w:hAnsi="Times New Roman"/>
          <w:noProof/>
          <w:sz w:val="24"/>
        </w:rPr>
        <w:t xml:space="preserve">Komisja będzie wspierała, propagowała i monitorowała wdrażanie planu działania na rzecz interoperacyjności oraz ogólnie europejskich ram interoperacyjności głównie za pośrednictwem programu ISA². </w:t>
      </w:r>
    </w:p>
    <w:p>
      <w:pPr>
        <w:spacing w:line="312" w:lineRule="auto"/>
        <w:jc w:val="both"/>
        <w:rPr>
          <w:noProof/>
        </w:rPr>
      </w:pPr>
      <w:r>
        <w:rPr>
          <w:rFonts w:ascii="Times New Roman" w:hAnsi="Times New Roman"/>
          <w:noProof/>
          <w:sz w:val="24"/>
        </w:rPr>
        <w:t>Planowane działania mogą również być finansowane w całości lub w części z innych instrumentów, na przykład:</w:t>
      </w:r>
    </w:p>
    <w:p>
      <w:pPr>
        <w:pStyle w:val="ListParagraph"/>
        <w:numPr>
          <w:ilvl w:val="0"/>
          <w:numId w:val="22"/>
        </w:numPr>
        <w:spacing w:line="312" w:lineRule="auto"/>
        <w:rPr>
          <w:noProof/>
        </w:rPr>
      </w:pPr>
      <w:r>
        <w:rPr>
          <w:noProof/>
        </w:rPr>
        <w:t>w ramach programu „Horyzont 2020”</w:t>
      </w:r>
      <w:r>
        <w:rPr>
          <w:rStyle w:val="FootnoteReference"/>
          <w:noProof/>
        </w:rPr>
        <w:footnoteReference w:id="30"/>
      </w:r>
      <w:r>
        <w:rPr>
          <w:noProof/>
        </w:rPr>
        <w:t xml:space="preserve"> można wspierać działania związane z innowacjami w sektorze publicznym</w:t>
      </w:r>
      <w:r>
        <w:rPr>
          <w:rStyle w:val="FootnoteReference"/>
          <w:noProof/>
        </w:rPr>
        <w:footnoteReference w:id="31"/>
      </w:r>
      <w:r>
        <w:rPr>
          <w:noProof/>
        </w:rPr>
        <w:t>;</w:t>
      </w:r>
    </w:p>
    <w:p>
      <w:pPr>
        <w:pStyle w:val="ListParagraph"/>
        <w:numPr>
          <w:ilvl w:val="0"/>
          <w:numId w:val="22"/>
        </w:numPr>
        <w:spacing w:line="312" w:lineRule="auto"/>
        <w:rPr>
          <w:noProof/>
        </w:rPr>
      </w:pPr>
      <w:r>
        <w:rPr>
          <w:noProof/>
        </w:rPr>
        <w:t>w ramach instrumentu „Łącząc Europę”</w:t>
      </w:r>
      <w:r>
        <w:rPr>
          <w:rStyle w:val="FootnoteReference"/>
          <w:noProof/>
        </w:rPr>
        <w:footnoteReference w:id="32"/>
      </w:r>
      <w:r>
        <w:rPr>
          <w:noProof/>
        </w:rPr>
        <w:t xml:space="preserve"> można wspierać wdrażanie i stosowanie kluczowych transgranicznych dojrzałych usług cyfrowych, takich jak identyfikacja elektroniczna, elektroniczne zamówienia publiczne oraz interoperacyjne usługi opieki zdrowotnej;</w:t>
      </w:r>
    </w:p>
    <w:p>
      <w:pPr>
        <w:pStyle w:val="Text1"/>
        <w:numPr>
          <w:ilvl w:val="0"/>
          <w:numId w:val="22"/>
        </w:numPr>
        <w:spacing w:line="312" w:lineRule="auto"/>
        <w:rPr>
          <w:noProof/>
        </w:rPr>
      </w:pPr>
      <w:r>
        <w:rPr>
          <w:noProof/>
        </w:rPr>
        <w:t>w ramach europejskich funduszy strukturalnych i inwestycyjnych</w:t>
      </w:r>
      <w:r>
        <w:rPr>
          <w:rStyle w:val="FootnoteReference"/>
          <w:noProof/>
        </w:rPr>
        <w:footnoteReference w:id="33"/>
      </w:r>
      <w:r>
        <w:rPr>
          <w:noProof/>
        </w:rPr>
        <w:t xml:space="preserve"> można wspierać działania związane z rozwojem cyfrowym poprzez opracowywanie produktów i usług ICT</w:t>
      </w:r>
      <w:r>
        <w:rPr>
          <w:rStyle w:val="FootnoteReference"/>
          <w:noProof/>
        </w:rPr>
        <w:footnoteReference w:id="34"/>
      </w:r>
      <w:r>
        <w:rPr>
          <w:noProof/>
        </w:rPr>
        <w:t xml:space="preserve"> oraz działania związane ze zwiększaniem zdolności instytucjonalnej i skuteczności administracji publicznych</w:t>
      </w:r>
      <w:r>
        <w:rPr>
          <w:rStyle w:val="FootnoteReference"/>
          <w:noProof/>
        </w:rPr>
        <w:footnoteReference w:id="35"/>
      </w:r>
      <w:r>
        <w:rPr>
          <w:noProof/>
        </w:rPr>
        <w:t>;</w:t>
      </w:r>
    </w:p>
    <w:p>
      <w:pPr>
        <w:pStyle w:val="Text1"/>
        <w:numPr>
          <w:ilvl w:val="0"/>
          <w:numId w:val="22"/>
        </w:numPr>
        <w:spacing w:line="312" w:lineRule="auto"/>
        <w:rPr>
          <w:noProof/>
        </w:rPr>
      </w:pPr>
      <w:r>
        <w:rPr>
          <w:noProof/>
        </w:rPr>
        <w:t>w ramach programu wspierania reform strukturalnych</w:t>
      </w:r>
      <w:r>
        <w:rPr>
          <w:rStyle w:val="FootnoteReference"/>
          <w:noProof/>
        </w:rPr>
        <w:footnoteReference w:id="36"/>
      </w:r>
      <w:r>
        <w:rPr>
          <w:noProof/>
        </w:rPr>
        <w:t xml:space="preserve"> można wspierać administracje publiczne we wdrażaniu krajowego wymiaru europejskich ram interoperacyjności.</w:t>
      </w:r>
    </w:p>
    <w:p>
      <w:pPr>
        <w:spacing w:line="312" w:lineRule="auto"/>
        <w:jc w:val="both"/>
        <w:rPr>
          <w:noProof/>
        </w:rPr>
      </w:pPr>
      <w:r>
        <w:rPr>
          <w:rFonts w:ascii="Times New Roman" w:hAnsi="Times New Roman"/>
          <w:noProof/>
          <w:sz w:val="24"/>
        </w:rPr>
        <w:t>Pozostałe instrumenty finansowe mogą posłużyć wsparciu wdrażania planu działania na rzecz interoperacyjności lub europejskich ram interoperacyjności dzięki ukierunkowanym działaniom w określonych obszarach polityki.</w:t>
      </w:r>
    </w:p>
    <w:p>
      <w:pPr>
        <w:pStyle w:val="ManualHeading1"/>
        <w:rPr>
          <w:noProof/>
        </w:rPr>
      </w:pPr>
      <w:bookmarkStart w:id="103" w:name="_Toc427133963"/>
      <w:bookmarkStart w:id="104" w:name="_Toc427133964"/>
      <w:bookmarkStart w:id="105" w:name="_Toc427133965"/>
      <w:bookmarkStart w:id="106" w:name="_Toc463449747"/>
      <w:bookmarkStart w:id="107" w:name="_Toc463451499"/>
      <w:bookmarkStart w:id="108" w:name="_Toc463452153"/>
      <w:bookmarkStart w:id="109" w:name="_Toc463458191"/>
      <w:bookmarkStart w:id="110" w:name="_Toc452538142"/>
      <w:bookmarkStart w:id="111" w:name="_Toc465177311"/>
      <w:bookmarkStart w:id="112" w:name="_Toc465177650"/>
      <w:bookmarkStart w:id="113" w:name="_Toc465421234"/>
      <w:bookmarkEnd w:id="103"/>
      <w:bookmarkEnd w:id="104"/>
      <w:bookmarkEnd w:id="105"/>
      <w:bookmarkEnd w:id="106"/>
      <w:bookmarkEnd w:id="107"/>
      <w:bookmarkEnd w:id="108"/>
      <w:bookmarkEnd w:id="109"/>
      <w:r>
        <w:t>6</w:t>
      </w:r>
      <w:r>
        <w:tab/>
      </w:r>
      <w:r>
        <w:rPr>
          <w:noProof/>
        </w:rPr>
        <w:t>Monitorowanie i sprawozdawczość</w:t>
      </w:r>
      <w:bookmarkEnd w:id="110"/>
      <w:bookmarkEnd w:id="111"/>
      <w:bookmarkEnd w:id="112"/>
      <w:bookmarkEnd w:id="113"/>
    </w:p>
    <w:p>
      <w:pPr>
        <w:keepNext/>
        <w:keepLines/>
        <w:widowControl w:val="0"/>
        <w:spacing w:line="312" w:lineRule="auto"/>
        <w:jc w:val="both"/>
        <w:rPr>
          <w:rFonts w:ascii="Times New Roman" w:hAnsi="Times New Roman" w:cs="Times New Roman"/>
          <w:noProof/>
          <w:sz w:val="24"/>
          <w:szCs w:val="24"/>
        </w:rPr>
      </w:pPr>
      <w:r>
        <w:rPr>
          <w:rFonts w:ascii="Times New Roman" w:hAnsi="Times New Roman"/>
          <w:noProof/>
          <w:sz w:val="24"/>
        </w:rPr>
        <w:t xml:space="preserve">Wdrażanie europejskich ram interoperacyjności, a w szczególności planu działania na rzecz interoperacyjności, możliwe jest wyłącznie w ramach współodpowiedzialności Komisji i państw członkowskich. Komisja, przy wsparciu w ramach programu ISA², powinna zarządzać wdrażaniem i monitorowaniem oraz je koordynować. </w:t>
      </w:r>
    </w:p>
    <w:p>
      <w:pPr>
        <w:keepNext/>
        <w:keepLines/>
        <w:widowControl w:val="0"/>
        <w:spacing w:line="312" w:lineRule="auto"/>
        <w:jc w:val="both"/>
        <w:rPr>
          <w:rFonts w:ascii="Times New Roman" w:hAnsi="Times New Roman" w:cs="Times New Roman"/>
          <w:noProof/>
          <w:sz w:val="24"/>
          <w:szCs w:val="24"/>
        </w:rPr>
      </w:pPr>
      <w:r>
        <w:rPr>
          <w:rFonts w:ascii="Times New Roman" w:hAnsi="Times New Roman"/>
          <w:noProof/>
          <w:sz w:val="24"/>
        </w:rPr>
        <w:t>Komisja utworzy zintegrowane ramy monitorowania, oceny i sprawozdawczości w odniesieniu do postępów we wdrażaniu europejskich ram interoperacyjności i planu działania na rzecz interoperacyjności. Działania te zostaną przeprowadzone w ramach prac obserwatorium interoperacyjności zgodnie z programem ISA² przy użyciu kluczowych wskaźników efektywności i mierzalnych celów.</w:t>
      </w:r>
    </w:p>
    <w:p>
      <w:pPr>
        <w:spacing w:line="312" w:lineRule="auto"/>
        <w:jc w:val="both"/>
        <w:rPr>
          <w:rFonts w:ascii="Times New Roman" w:hAnsi="Times New Roman" w:cs="Times New Roman"/>
          <w:noProof/>
          <w:sz w:val="24"/>
          <w:szCs w:val="24"/>
        </w:rPr>
      </w:pPr>
      <w:r>
        <w:rPr>
          <w:rFonts w:ascii="Times New Roman" w:hAnsi="Times New Roman"/>
          <w:noProof/>
          <w:sz w:val="24"/>
        </w:rPr>
        <w:t>Do końca 2019 r. Komisja oceni wdrażanie europejskich ram interoperacyjności. Na podstawie wyników oceny i zgodnie z zasadami lepszego stanowienia prawa Komisja może ocenić, czy określone zalecenia zawarte w europejskich ramach interoperacyjności powinny stać się częścią instrumentu obowiązkowego.</w:t>
      </w:r>
    </w:p>
    <w:p>
      <w:pPr>
        <w:pStyle w:val="ManualHeading1"/>
        <w:rPr>
          <w:noProof/>
        </w:rPr>
      </w:pPr>
      <w:bookmarkStart w:id="114" w:name="_Toc465176492"/>
      <w:bookmarkStart w:id="115" w:name="_Toc465176656"/>
      <w:bookmarkStart w:id="116" w:name="_Toc465176984"/>
      <w:bookmarkStart w:id="117" w:name="_Toc465177148"/>
      <w:bookmarkStart w:id="118" w:name="_Toc465177312"/>
      <w:bookmarkStart w:id="119" w:name="_Toc465177651"/>
      <w:bookmarkStart w:id="120" w:name="_Toc465177984"/>
      <w:bookmarkStart w:id="121" w:name="_Toc465178148"/>
      <w:bookmarkStart w:id="122" w:name="_Toc465178312"/>
      <w:bookmarkStart w:id="123" w:name="_Toc465179626"/>
      <w:bookmarkStart w:id="124" w:name="_Toc465179961"/>
      <w:bookmarkStart w:id="125" w:name="_Toc465180126"/>
      <w:bookmarkStart w:id="126" w:name="_Toc463449749"/>
      <w:bookmarkStart w:id="127" w:name="_Toc463451501"/>
      <w:bookmarkStart w:id="128" w:name="_Toc463452155"/>
      <w:bookmarkStart w:id="129" w:name="_Toc463458193"/>
      <w:bookmarkStart w:id="130" w:name="_Toc465176493"/>
      <w:bookmarkStart w:id="131" w:name="_Toc465176657"/>
      <w:bookmarkStart w:id="132" w:name="_Toc465176985"/>
      <w:bookmarkStart w:id="133" w:name="_Toc465177149"/>
      <w:bookmarkStart w:id="134" w:name="_Toc465177313"/>
      <w:bookmarkStart w:id="135" w:name="_Toc465177652"/>
      <w:bookmarkStart w:id="136" w:name="_Toc465177985"/>
      <w:bookmarkStart w:id="137" w:name="_Toc465178149"/>
      <w:bookmarkStart w:id="138" w:name="_Toc465178313"/>
      <w:bookmarkStart w:id="139" w:name="_Toc465179627"/>
      <w:bookmarkStart w:id="140" w:name="_Toc465179962"/>
      <w:bookmarkStart w:id="141" w:name="_Toc465180127"/>
      <w:bookmarkStart w:id="142" w:name="_Toc465176494"/>
      <w:bookmarkStart w:id="143" w:name="_Toc465176658"/>
      <w:bookmarkStart w:id="144" w:name="_Toc465176986"/>
      <w:bookmarkStart w:id="145" w:name="_Toc465177150"/>
      <w:bookmarkStart w:id="146" w:name="_Toc465177314"/>
      <w:bookmarkStart w:id="147" w:name="_Toc465177653"/>
      <w:bookmarkStart w:id="148" w:name="_Toc465177986"/>
      <w:bookmarkStart w:id="149" w:name="_Toc465178150"/>
      <w:bookmarkStart w:id="150" w:name="_Toc465178314"/>
      <w:bookmarkStart w:id="151" w:name="_Toc465179628"/>
      <w:bookmarkStart w:id="152" w:name="_Toc465179963"/>
      <w:bookmarkStart w:id="153" w:name="_Toc465180128"/>
      <w:bookmarkStart w:id="154" w:name="_Toc465176495"/>
      <w:bookmarkStart w:id="155" w:name="_Toc465176659"/>
      <w:bookmarkStart w:id="156" w:name="_Toc465176987"/>
      <w:bookmarkStart w:id="157" w:name="_Toc465177151"/>
      <w:bookmarkStart w:id="158" w:name="_Toc465177315"/>
      <w:bookmarkStart w:id="159" w:name="_Toc465177654"/>
      <w:bookmarkStart w:id="160" w:name="_Toc465177987"/>
      <w:bookmarkStart w:id="161" w:name="_Toc465178151"/>
      <w:bookmarkStart w:id="162" w:name="_Toc465178315"/>
      <w:bookmarkStart w:id="163" w:name="_Toc465179629"/>
      <w:bookmarkStart w:id="164" w:name="_Toc465179964"/>
      <w:bookmarkStart w:id="165" w:name="_Toc465180129"/>
      <w:bookmarkStart w:id="166" w:name="_Toc465176509"/>
      <w:bookmarkStart w:id="167" w:name="_Toc465176673"/>
      <w:bookmarkStart w:id="168" w:name="_Toc465177001"/>
      <w:bookmarkStart w:id="169" w:name="_Toc465177165"/>
      <w:bookmarkStart w:id="170" w:name="_Toc465177329"/>
      <w:bookmarkStart w:id="171" w:name="_Toc465177668"/>
      <w:bookmarkStart w:id="172" w:name="_Toc465178001"/>
      <w:bookmarkStart w:id="173" w:name="_Toc465178165"/>
      <w:bookmarkStart w:id="174" w:name="_Toc465178329"/>
      <w:bookmarkStart w:id="175" w:name="_Toc465179643"/>
      <w:bookmarkStart w:id="176" w:name="_Toc465179978"/>
      <w:bookmarkStart w:id="177" w:name="_Toc465180143"/>
      <w:bookmarkStart w:id="178" w:name="_Toc465176514"/>
      <w:bookmarkStart w:id="179" w:name="_Toc465176678"/>
      <w:bookmarkStart w:id="180" w:name="_Toc465177006"/>
      <w:bookmarkStart w:id="181" w:name="_Toc465177170"/>
      <w:bookmarkStart w:id="182" w:name="_Toc465177334"/>
      <w:bookmarkStart w:id="183" w:name="_Toc465177673"/>
      <w:bookmarkStart w:id="184" w:name="_Toc465178006"/>
      <w:bookmarkStart w:id="185" w:name="_Toc465178170"/>
      <w:bookmarkStart w:id="186" w:name="_Toc465178334"/>
      <w:bookmarkStart w:id="187" w:name="_Toc465179648"/>
      <w:bookmarkStart w:id="188" w:name="_Toc465179983"/>
      <w:bookmarkStart w:id="189" w:name="_Toc465180148"/>
      <w:bookmarkStart w:id="190" w:name="_Toc465176526"/>
      <w:bookmarkStart w:id="191" w:name="_Toc465176690"/>
      <w:bookmarkStart w:id="192" w:name="_Toc465177018"/>
      <w:bookmarkStart w:id="193" w:name="_Toc465177182"/>
      <w:bookmarkStart w:id="194" w:name="_Toc465177346"/>
      <w:bookmarkStart w:id="195" w:name="_Toc465177685"/>
      <w:bookmarkStart w:id="196" w:name="_Toc465178018"/>
      <w:bookmarkStart w:id="197" w:name="_Toc465178182"/>
      <w:bookmarkStart w:id="198" w:name="_Toc465178346"/>
      <w:bookmarkStart w:id="199" w:name="_Toc465179660"/>
      <w:bookmarkStart w:id="200" w:name="_Toc465179995"/>
      <w:bookmarkStart w:id="201" w:name="_Toc465180160"/>
      <w:bookmarkStart w:id="202" w:name="_Toc465176538"/>
      <w:bookmarkStart w:id="203" w:name="_Toc465176702"/>
      <w:bookmarkStart w:id="204" w:name="_Toc465177030"/>
      <w:bookmarkStart w:id="205" w:name="_Toc465177194"/>
      <w:bookmarkStart w:id="206" w:name="_Toc465177358"/>
      <w:bookmarkStart w:id="207" w:name="_Toc465177697"/>
      <w:bookmarkStart w:id="208" w:name="_Toc465178030"/>
      <w:bookmarkStart w:id="209" w:name="_Toc465178194"/>
      <w:bookmarkStart w:id="210" w:name="_Toc465178358"/>
      <w:bookmarkStart w:id="211" w:name="_Toc465179672"/>
      <w:bookmarkStart w:id="212" w:name="_Toc465180007"/>
      <w:bookmarkStart w:id="213" w:name="_Toc465180172"/>
      <w:bookmarkStart w:id="214" w:name="_Toc465176543"/>
      <w:bookmarkStart w:id="215" w:name="_Toc465176707"/>
      <w:bookmarkStart w:id="216" w:name="_Toc465177035"/>
      <w:bookmarkStart w:id="217" w:name="_Toc465177199"/>
      <w:bookmarkStart w:id="218" w:name="_Toc465177363"/>
      <w:bookmarkStart w:id="219" w:name="_Toc465177702"/>
      <w:bookmarkStart w:id="220" w:name="_Toc465178035"/>
      <w:bookmarkStart w:id="221" w:name="_Toc465178199"/>
      <w:bookmarkStart w:id="222" w:name="_Toc465178363"/>
      <w:bookmarkStart w:id="223" w:name="_Toc465179677"/>
      <w:bookmarkStart w:id="224" w:name="_Toc465180012"/>
      <w:bookmarkStart w:id="225" w:name="_Toc465180177"/>
      <w:bookmarkStart w:id="226" w:name="_Toc465176557"/>
      <w:bookmarkStart w:id="227" w:name="_Toc465176721"/>
      <w:bookmarkStart w:id="228" w:name="_Toc465177049"/>
      <w:bookmarkStart w:id="229" w:name="_Toc465177213"/>
      <w:bookmarkStart w:id="230" w:name="_Toc465177377"/>
      <w:bookmarkStart w:id="231" w:name="_Toc465177716"/>
      <w:bookmarkStart w:id="232" w:name="_Toc465178049"/>
      <w:bookmarkStart w:id="233" w:name="_Toc465178213"/>
      <w:bookmarkStart w:id="234" w:name="_Toc465178377"/>
      <w:bookmarkStart w:id="235" w:name="_Toc465179691"/>
      <w:bookmarkStart w:id="236" w:name="_Toc465180026"/>
      <w:bookmarkStart w:id="237" w:name="_Toc465180191"/>
      <w:bookmarkStart w:id="238" w:name="_Toc465176562"/>
      <w:bookmarkStart w:id="239" w:name="_Toc465176726"/>
      <w:bookmarkStart w:id="240" w:name="_Toc465177054"/>
      <w:bookmarkStart w:id="241" w:name="_Toc465177218"/>
      <w:bookmarkStart w:id="242" w:name="_Toc465177382"/>
      <w:bookmarkStart w:id="243" w:name="_Toc465177721"/>
      <w:bookmarkStart w:id="244" w:name="_Toc465178054"/>
      <w:bookmarkStart w:id="245" w:name="_Toc465178218"/>
      <w:bookmarkStart w:id="246" w:name="_Toc465178382"/>
      <w:bookmarkStart w:id="247" w:name="_Toc465179696"/>
      <w:bookmarkStart w:id="248" w:name="_Toc465180031"/>
      <w:bookmarkStart w:id="249" w:name="_Toc465180196"/>
      <w:bookmarkStart w:id="250" w:name="_Toc465176572"/>
      <w:bookmarkStart w:id="251" w:name="_Toc465176736"/>
      <w:bookmarkStart w:id="252" w:name="_Toc465177064"/>
      <w:bookmarkStart w:id="253" w:name="_Toc465177228"/>
      <w:bookmarkStart w:id="254" w:name="_Toc465177392"/>
      <w:bookmarkStart w:id="255" w:name="_Toc465177731"/>
      <w:bookmarkStart w:id="256" w:name="_Toc465178064"/>
      <w:bookmarkStart w:id="257" w:name="_Toc465178228"/>
      <w:bookmarkStart w:id="258" w:name="_Toc465178392"/>
      <w:bookmarkStart w:id="259" w:name="_Toc465179706"/>
      <w:bookmarkStart w:id="260" w:name="_Toc465180041"/>
      <w:bookmarkStart w:id="261" w:name="_Toc465180206"/>
      <w:bookmarkStart w:id="262" w:name="_Toc465176589"/>
      <w:bookmarkStart w:id="263" w:name="_Toc465176753"/>
      <w:bookmarkStart w:id="264" w:name="_Toc465177081"/>
      <w:bookmarkStart w:id="265" w:name="_Toc465177245"/>
      <w:bookmarkStart w:id="266" w:name="_Toc465177409"/>
      <w:bookmarkStart w:id="267" w:name="_Toc465177748"/>
      <w:bookmarkStart w:id="268" w:name="_Toc465178081"/>
      <w:bookmarkStart w:id="269" w:name="_Toc465178245"/>
      <w:bookmarkStart w:id="270" w:name="_Toc465178409"/>
      <w:bookmarkStart w:id="271" w:name="_Toc465179723"/>
      <w:bookmarkStart w:id="272" w:name="_Toc465180058"/>
      <w:bookmarkStart w:id="273" w:name="_Toc465180223"/>
      <w:bookmarkStart w:id="274" w:name="_Toc465176594"/>
      <w:bookmarkStart w:id="275" w:name="_Toc465176758"/>
      <w:bookmarkStart w:id="276" w:name="_Toc465177086"/>
      <w:bookmarkStart w:id="277" w:name="_Toc465177250"/>
      <w:bookmarkStart w:id="278" w:name="_Toc465177414"/>
      <w:bookmarkStart w:id="279" w:name="_Toc465177753"/>
      <w:bookmarkStart w:id="280" w:name="_Toc465178086"/>
      <w:bookmarkStart w:id="281" w:name="_Toc465178250"/>
      <w:bookmarkStart w:id="282" w:name="_Toc465178414"/>
      <w:bookmarkStart w:id="283" w:name="_Toc465179728"/>
      <w:bookmarkStart w:id="284" w:name="_Toc465180063"/>
      <w:bookmarkStart w:id="285" w:name="_Toc465180228"/>
      <w:bookmarkStart w:id="286" w:name="_Toc465176599"/>
      <w:bookmarkStart w:id="287" w:name="_Toc465176763"/>
      <w:bookmarkStart w:id="288" w:name="_Toc465177091"/>
      <w:bookmarkStart w:id="289" w:name="_Toc465177255"/>
      <w:bookmarkStart w:id="290" w:name="_Toc465177419"/>
      <w:bookmarkStart w:id="291" w:name="_Toc465177758"/>
      <w:bookmarkStart w:id="292" w:name="_Toc465178091"/>
      <w:bookmarkStart w:id="293" w:name="_Toc465178255"/>
      <w:bookmarkStart w:id="294" w:name="_Toc465178419"/>
      <w:bookmarkStart w:id="295" w:name="_Toc465179733"/>
      <w:bookmarkStart w:id="296" w:name="_Toc465180068"/>
      <w:bookmarkStart w:id="297" w:name="_Toc465180233"/>
      <w:bookmarkStart w:id="298" w:name="_Toc465176604"/>
      <w:bookmarkStart w:id="299" w:name="_Toc465176768"/>
      <w:bookmarkStart w:id="300" w:name="_Toc465177096"/>
      <w:bookmarkStart w:id="301" w:name="_Toc465177260"/>
      <w:bookmarkStart w:id="302" w:name="_Toc465177424"/>
      <w:bookmarkStart w:id="303" w:name="_Toc465177763"/>
      <w:bookmarkStart w:id="304" w:name="_Toc465178096"/>
      <w:bookmarkStart w:id="305" w:name="_Toc465178260"/>
      <w:bookmarkStart w:id="306" w:name="_Toc465178424"/>
      <w:bookmarkStart w:id="307" w:name="_Toc465179738"/>
      <w:bookmarkStart w:id="308" w:name="_Toc465180073"/>
      <w:bookmarkStart w:id="309" w:name="_Toc465180238"/>
      <w:bookmarkStart w:id="310" w:name="_Toc465176609"/>
      <w:bookmarkStart w:id="311" w:name="_Toc465176773"/>
      <w:bookmarkStart w:id="312" w:name="_Toc465177101"/>
      <w:bookmarkStart w:id="313" w:name="_Toc465177265"/>
      <w:bookmarkStart w:id="314" w:name="_Toc465177429"/>
      <w:bookmarkStart w:id="315" w:name="_Toc465177768"/>
      <w:bookmarkStart w:id="316" w:name="_Toc465178101"/>
      <w:bookmarkStart w:id="317" w:name="_Toc465178265"/>
      <w:bookmarkStart w:id="318" w:name="_Toc465178429"/>
      <w:bookmarkStart w:id="319" w:name="_Toc465179743"/>
      <w:bookmarkStart w:id="320" w:name="_Toc465180078"/>
      <w:bookmarkStart w:id="321" w:name="_Toc465180243"/>
      <w:bookmarkStart w:id="322" w:name="_Toc465176614"/>
      <w:bookmarkStart w:id="323" w:name="_Toc465176778"/>
      <w:bookmarkStart w:id="324" w:name="_Toc465177106"/>
      <w:bookmarkStart w:id="325" w:name="_Toc465177270"/>
      <w:bookmarkStart w:id="326" w:name="_Toc465177434"/>
      <w:bookmarkStart w:id="327" w:name="_Toc465177773"/>
      <w:bookmarkStart w:id="328" w:name="_Toc465178106"/>
      <w:bookmarkStart w:id="329" w:name="_Toc465178270"/>
      <w:bookmarkStart w:id="330" w:name="_Toc465178434"/>
      <w:bookmarkStart w:id="331" w:name="_Toc465179748"/>
      <w:bookmarkStart w:id="332" w:name="_Toc465180083"/>
      <w:bookmarkStart w:id="333" w:name="_Toc465180248"/>
      <w:bookmarkStart w:id="334" w:name="_Toc465176619"/>
      <w:bookmarkStart w:id="335" w:name="_Toc465176783"/>
      <w:bookmarkStart w:id="336" w:name="_Toc465177111"/>
      <w:bookmarkStart w:id="337" w:name="_Toc465177275"/>
      <w:bookmarkStart w:id="338" w:name="_Toc465177439"/>
      <w:bookmarkStart w:id="339" w:name="_Toc465177778"/>
      <w:bookmarkStart w:id="340" w:name="_Toc465178111"/>
      <w:bookmarkStart w:id="341" w:name="_Toc465178275"/>
      <w:bookmarkStart w:id="342" w:name="_Toc465178439"/>
      <w:bookmarkStart w:id="343" w:name="_Toc465179753"/>
      <w:bookmarkStart w:id="344" w:name="_Toc465180088"/>
      <w:bookmarkStart w:id="345" w:name="_Toc465180253"/>
      <w:bookmarkStart w:id="346" w:name="_Toc465176624"/>
      <w:bookmarkStart w:id="347" w:name="_Toc465176788"/>
      <w:bookmarkStart w:id="348" w:name="_Toc465177116"/>
      <w:bookmarkStart w:id="349" w:name="_Toc465177280"/>
      <w:bookmarkStart w:id="350" w:name="_Toc465177444"/>
      <w:bookmarkStart w:id="351" w:name="_Toc465177783"/>
      <w:bookmarkStart w:id="352" w:name="_Toc465178116"/>
      <w:bookmarkStart w:id="353" w:name="_Toc465178280"/>
      <w:bookmarkStart w:id="354" w:name="_Toc465178444"/>
      <w:bookmarkStart w:id="355" w:name="_Toc465179758"/>
      <w:bookmarkStart w:id="356" w:name="_Toc465180093"/>
      <w:bookmarkStart w:id="357" w:name="_Toc465180258"/>
      <w:bookmarkStart w:id="358" w:name="_Toc465176636"/>
      <w:bookmarkStart w:id="359" w:name="_Toc465176800"/>
      <w:bookmarkStart w:id="360" w:name="_Toc465177128"/>
      <w:bookmarkStart w:id="361" w:name="_Toc465177292"/>
      <w:bookmarkStart w:id="362" w:name="_Toc465177456"/>
      <w:bookmarkStart w:id="363" w:name="_Toc465177795"/>
      <w:bookmarkStart w:id="364" w:name="_Toc465178128"/>
      <w:bookmarkStart w:id="365" w:name="_Toc465178292"/>
      <w:bookmarkStart w:id="366" w:name="_Toc465178456"/>
      <w:bookmarkStart w:id="367" w:name="_Toc465179770"/>
      <w:bookmarkStart w:id="368" w:name="_Toc465180105"/>
      <w:bookmarkStart w:id="369" w:name="_Toc465180270"/>
      <w:bookmarkStart w:id="370" w:name="_Toc465176641"/>
      <w:bookmarkStart w:id="371" w:name="_Toc465176805"/>
      <w:bookmarkStart w:id="372" w:name="_Toc465177133"/>
      <w:bookmarkStart w:id="373" w:name="_Toc465177297"/>
      <w:bookmarkStart w:id="374" w:name="_Toc465177461"/>
      <w:bookmarkStart w:id="375" w:name="_Toc465177800"/>
      <w:bookmarkStart w:id="376" w:name="_Toc465178133"/>
      <w:bookmarkStart w:id="377" w:name="_Toc465178297"/>
      <w:bookmarkStart w:id="378" w:name="_Toc465178461"/>
      <w:bookmarkStart w:id="379" w:name="_Toc465179775"/>
      <w:bookmarkStart w:id="380" w:name="_Toc465180110"/>
      <w:bookmarkStart w:id="381" w:name="_Toc465180275"/>
      <w:bookmarkStart w:id="382" w:name="_Toc465177468"/>
      <w:bookmarkStart w:id="383" w:name="_Toc465177807"/>
      <w:bookmarkStart w:id="384" w:name="_Toc46542123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t>7</w:t>
      </w:r>
      <w:r>
        <w:tab/>
      </w:r>
      <w:r>
        <w:rPr>
          <w:noProof/>
        </w:rPr>
        <w:t>Podsumowanie</w:t>
      </w:r>
      <w:bookmarkEnd w:id="382"/>
      <w:bookmarkEnd w:id="383"/>
      <w:bookmarkEnd w:id="384"/>
    </w:p>
    <w:p>
      <w:pPr>
        <w:spacing w:line="312" w:lineRule="auto"/>
        <w:jc w:val="both"/>
        <w:rPr>
          <w:rFonts w:ascii="Times New Roman" w:hAnsi="Times New Roman" w:cs="Times New Roman"/>
          <w:noProof/>
          <w:sz w:val="24"/>
          <w:szCs w:val="24"/>
        </w:rPr>
      </w:pPr>
      <w:r>
        <w:rPr>
          <w:rFonts w:ascii="Times New Roman" w:hAnsi="Times New Roman"/>
          <w:noProof/>
          <w:sz w:val="24"/>
        </w:rPr>
        <w:t>Między zainteresowanymi stronami panuje powszechna zgoda co do potrzeby aktualizacji istniejących europejskich ram interoperacyjności. Jeżeli żadne działania nie zostaną podjęte, państwa członkowskie, chcąc szybko sprostać obecnym wyzwaniom, mogą wybrać indywidualne i różniące się podejścia do interoperacyjności. W efekcie powstałyby niekompatybilne rozwiązania, które mogłyby zwiększać fragmentację cyfrową w całej UE i utrudniać urzeczywistnienie jednolitego rynku cyfrowego.</w:t>
      </w:r>
    </w:p>
    <w:p>
      <w:pPr>
        <w:spacing w:line="312" w:lineRule="auto"/>
        <w:jc w:val="both"/>
        <w:rPr>
          <w:noProof/>
        </w:rPr>
      </w:pPr>
      <w:r>
        <w:rPr>
          <w:rFonts w:ascii="Times New Roman" w:hAnsi="Times New Roman"/>
          <w:noProof/>
          <w:sz w:val="24"/>
        </w:rPr>
        <w:t xml:space="preserve">Nowe europejskie ramy interoperacyjności zostały ukształtowane w ścisłej współpracy z państwami członkowskimi i po szeroko zakrojonym procesie konsultacji ze wszystkimi zainteresowanymi stronami. Ich udane wdrażanie będzie wymagało aktywnego zaangażowania wszystkich podmiotów, w szczególności administracji publicznych. Zaplanowane działania zapewnią osiągnięcie przez nowe europejskie ramy interoperacyjności ich ostatecznego celu, jakim są interoperacyjne usługi publiczne w UE zorientowane na użytkownika. </w:t>
      </w: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8"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31147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20"/>
        </w:rPr>
      </w:pPr>
      <w:r>
        <w:rPr>
          <w:rStyle w:val="FootnoteReference"/>
          <w:sz w:val="20"/>
        </w:rPr>
        <w:footnoteRef/>
      </w:r>
      <w:r>
        <w:rPr>
          <w:sz w:val="20"/>
        </w:rPr>
        <w:t xml:space="preserve"> Nowy początek dla Europy: Mój program na rzecz zatrudnienia, wzrostu, sprawiedliwości oraz zmian demokratycznych. Wytyczne polityczne na następną kadencję Komisji Europejskiej, uwagi wstępne wygłoszone podczas posiedzenia plenarnego Parlamentu Europejskiego, Sztrasburg, 15 lipca 2014 r.</w:t>
      </w:r>
    </w:p>
  </w:footnote>
  <w:footnote w:id="2">
    <w:p>
      <w:pPr>
        <w:pStyle w:val="FootnoteText"/>
        <w:jc w:val="both"/>
        <w:rPr>
          <w:sz w:val="20"/>
        </w:rPr>
      </w:pPr>
      <w:r>
        <w:rPr>
          <w:rStyle w:val="FootnoteReference"/>
          <w:sz w:val="20"/>
        </w:rPr>
        <w:footnoteRef/>
      </w:r>
      <w:r>
        <w:rPr>
          <w:sz w:val="20"/>
        </w:rPr>
        <w:t xml:space="preserve"> Wskaźnik administracji elektronicznej wynosi 55,4 % i wskazuje na znaczną różnicę między państwami członkowskimi o najwyższym i najniższym wyniku.</w:t>
      </w:r>
    </w:p>
  </w:footnote>
  <w:footnote w:id="3">
    <w:p>
      <w:pPr>
        <w:pStyle w:val="FootnoteText"/>
      </w:pPr>
      <w:r>
        <w:rPr>
          <w:rStyle w:val="FootnoteReference"/>
          <w:sz w:val="20"/>
        </w:rPr>
        <w:footnoteRef/>
      </w:r>
      <w:r>
        <w:rPr>
          <w:sz w:val="20"/>
        </w:rPr>
        <w:t xml:space="preserve"> Jak stwierdzono w sprawozdaniu dotyczącym tabeli wyników rynku wewnętrznego za 2014 r. w odniesieniu do punktów kompleksowej obsługi.</w:t>
      </w:r>
    </w:p>
  </w:footnote>
  <w:footnote w:id="4">
    <w:p>
      <w:pPr>
        <w:pStyle w:val="FootnoteText"/>
        <w:jc w:val="both"/>
        <w:rPr>
          <w:sz w:val="20"/>
        </w:rPr>
      </w:pPr>
      <w:r>
        <w:rPr>
          <w:rStyle w:val="FootnoteReference"/>
          <w:sz w:val="20"/>
        </w:rPr>
        <w:footnoteRef/>
      </w:r>
      <w:r>
        <w:rPr>
          <w:sz w:val="20"/>
        </w:rPr>
        <w:t xml:space="preserve"> W 1999 r. Komisja wyszła z inicjatywą poświęconą interoperacyjności, ogłaszając decyzję nr 1719/1999/WE Parlamentu Europejskiego i Rady z dnia 12 lipca 1999 r. w sprawie szeregu wytycznych, w tym identyfikacji projektów będących przedmiotem wspólnego zainteresowania, dotyczących transeuropejskich sieci elektronicznej wymiany danych między administracjami (IDA).</w:t>
      </w:r>
    </w:p>
  </w:footnote>
  <w:footnote w:id="5">
    <w:p>
      <w:pPr>
        <w:pStyle w:val="FootnoteText"/>
        <w:rPr>
          <w:rStyle w:val="Hyperlink"/>
          <w:rFonts w:asciiTheme="minorHAnsi" w:hAnsiTheme="minorHAnsi"/>
          <w:sz w:val="20"/>
        </w:rPr>
      </w:pPr>
      <w:r>
        <w:rPr>
          <w:rStyle w:val="FootnoteReference"/>
          <w:sz w:val="20"/>
        </w:rPr>
        <w:footnoteRef/>
      </w:r>
      <w:r>
        <w:rPr>
          <w:rStyle w:val="FootnoteReference"/>
          <w:sz w:val="20"/>
        </w:rPr>
        <w:t xml:space="preserve"> </w:t>
      </w:r>
      <w:r>
        <w:rPr>
          <w:sz w:val="20"/>
        </w:rPr>
        <w:t>COM(2010) 744 final, komunikat Komisji do Parlamentu Europejskiego, Rady, Europejskiego Komitetu Ekonomiczno-Społecznego i Komitetu Regionów „W kierunku interoperacyjności europejskich usług użyteczności publicznej”, Bruksela, 16.12.2010.</w:t>
      </w:r>
    </w:p>
  </w:footnote>
  <w:footnote w:id="6">
    <w:p>
      <w:pPr>
        <w:pStyle w:val="FootnoteText"/>
        <w:jc w:val="both"/>
        <w:rPr>
          <w:rStyle w:val="Hyperlink"/>
          <w:rFonts w:asciiTheme="minorHAnsi" w:hAnsiTheme="minorHAnsi"/>
          <w:sz w:val="20"/>
        </w:rPr>
      </w:pPr>
      <w:r>
        <w:rPr>
          <w:rStyle w:val="FootnoteReference"/>
          <w:sz w:val="20"/>
        </w:rPr>
        <w:footnoteRef/>
      </w:r>
      <w:r>
        <w:rPr>
          <w:rStyle w:val="FootnoteReference"/>
          <w:sz w:val="20"/>
        </w:rPr>
        <w:t xml:space="preserve"> </w:t>
      </w:r>
      <w:r>
        <w:rPr>
          <w:sz w:val="20"/>
        </w:rPr>
        <w:t>COM(2010) 744 final, załącznik 1.</w:t>
      </w:r>
    </w:p>
  </w:footnote>
  <w:footnote w:id="7">
    <w:p>
      <w:pPr>
        <w:pStyle w:val="FootnoteText"/>
        <w:jc w:val="both"/>
        <w:rPr>
          <w:rStyle w:val="Hyperlink"/>
          <w:rFonts w:asciiTheme="minorHAnsi" w:hAnsiTheme="minorHAnsi"/>
          <w:sz w:val="20"/>
        </w:rPr>
      </w:pPr>
      <w:r>
        <w:rPr>
          <w:rStyle w:val="FootnoteReference"/>
          <w:sz w:val="20"/>
        </w:rPr>
        <w:footnoteRef/>
      </w:r>
      <w:r>
        <w:rPr>
          <w:rStyle w:val="FootnoteReference"/>
          <w:sz w:val="20"/>
        </w:rPr>
        <w:t xml:space="preserve"> </w:t>
      </w:r>
      <w:r>
        <w:rPr>
          <w:sz w:val="20"/>
        </w:rPr>
        <w:t>COM(2010) 744 final, załącznik 2.</w:t>
      </w:r>
    </w:p>
  </w:footnote>
  <w:footnote w:id="8">
    <w:p>
      <w:pPr>
        <w:pStyle w:val="FootnoteText"/>
        <w:jc w:val="both"/>
        <w:rPr>
          <w:sz w:val="20"/>
        </w:rPr>
      </w:pPr>
      <w:r>
        <w:rPr>
          <w:rStyle w:val="FootnoteReference"/>
          <w:sz w:val="20"/>
        </w:rPr>
        <w:footnoteRef/>
      </w:r>
      <w:r>
        <w:rPr>
          <w:sz w:val="20"/>
        </w:rPr>
        <w:t xml:space="preserve"> </w:t>
      </w:r>
      <w:hyperlink r:id="rId1">
        <w:r>
          <w:rPr>
            <w:sz w:val="20"/>
          </w:rPr>
          <w:t>COM(2015) 192 final, komunikat Komisji do Parlamentu Europejskiego, Rady, Europejskiego Komitetu Ekonomiczno-Społecznego i Komitetu Regionów „Strategia jednolitego rynku cyfrowego dla Europy”, Bruksela, 6.5.2015.</w:t>
        </w:r>
      </w:hyperlink>
    </w:p>
  </w:footnote>
  <w:footnote w:id="9">
    <w:p>
      <w:pPr>
        <w:pStyle w:val="FootnoteText"/>
        <w:jc w:val="both"/>
        <w:rPr>
          <w:sz w:val="20"/>
        </w:rPr>
      </w:pPr>
      <w:r>
        <w:rPr>
          <w:rStyle w:val="FootnoteReference"/>
          <w:sz w:val="20"/>
        </w:rPr>
        <w:footnoteRef/>
      </w:r>
      <w:r>
        <w:rPr>
          <w:sz w:val="20"/>
        </w:rPr>
        <w:t xml:space="preserve"> Decyzja Parlamentu Europejskiego i Rady nr 922/2009/WE z dnia 16 września 2009 r. w sprawie rozwiązań interoperacyjnych dla europejskich administracji publicznych (ISA).</w:t>
      </w:r>
    </w:p>
  </w:footnote>
  <w:footnote w:id="10">
    <w:p>
      <w:pPr>
        <w:pStyle w:val="Default"/>
        <w:rPr>
          <w:sz w:val="20"/>
          <w:szCs w:val="20"/>
        </w:rPr>
      </w:pPr>
      <w:r>
        <w:rPr>
          <w:rStyle w:val="FootnoteReference"/>
          <w:rFonts w:ascii="Times New Roman" w:hAnsi="Times New Roman"/>
          <w:sz w:val="20"/>
        </w:rPr>
        <w:footnoteRef/>
      </w:r>
      <w:r>
        <w:rPr>
          <w:rFonts w:ascii="Times New Roman" w:hAnsi="Times New Roman"/>
          <w:sz w:val="20"/>
        </w:rPr>
        <w:t xml:space="preserve"> Decyzja Parlamentu Europejskiego i Rady (UE) 2015/2240 z dnia 25 listopada 2015 r. ustanawiająca program na rzecz rozwiązań interoperacyjnych i wspólnych ram dla europejskich administracji publicznych, przedsiębiorstw i obywateli (program ISA²) jako środek modernizacji sektora publicznego.</w:t>
      </w:r>
    </w:p>
  </w:footnote>
  <w:footnote w:id="11">
    <w:p>
      <w:pPr>
        <w:pStyle w:val="FootnoteText"/>
        <w:jc w:val="both"/>
        <w:rPr>
          <w:sz w:val="20"/>
        </w:rPr>
      </w:pPr>
      <w:r>
        <w:rPr>
          <w:rStyle w:val="FootnoteReference"/>
          <w:sz w:val="20"/>
        </w:rPr>
        <w:footnoteRef/>
      </w:r>
      <w:r>
        <w:rPr>
          <w:sz w:val="20"/>
        </w:rPr>
        <w:t xml:space="preserve"> Aktualna sytuacja w dziedzinie interoperacyjności w Europie – sprawozdanie za 2014 r.</w:t>
      </w:r>
    </w:p>
  </w:footnote>
  <w:footnote w:id="12">
    <w:p>
      <w:pPr>
        <w:pStyle w:val="FootnoteText"/>
        <w:jc w:val="both"/>
        <w:rPr>
          <w:sz w:val="20"/>
        </w:rPr>
      </w:pPr>
      <w:r>
        <w:rPr>
          <w:rStyle w:val="FootnoteReference"/>
          <w:sz w:val="20"/>
        </w:rPr>
        <w:footnoteRef/>
      </w:r>
      <w:r>
        <w:rPr>
          <w:sz w:val="20"/>
        </w:rPr>
        <w:t xml:space="preserve"> Dyrektywa 2003/98/WE, zmieniona dyrektywą 2013/37/UE.</w:t>
      </w:r>
    </w:p>
  </w:footnote>
  <w:footnote w:id="13">
    <w:p>
      <w:pPr>
        <w:pStyle w:val="FootnoteText"/>
        <w:rPr>
          <w:sz w:val="20"/>
        </w:rPr>
      </w:pPr>
      <w:r>
        <w:rPr>
          <w:rStyle w:val="FootnoteReference"/>
          <w:sz w:val="20"/>
        </w:rPr>
        <w:footnoteRef/>
      </w:r>
      <w:r>
        <w:rPr>
          <w:sz w:val="20"/>
        </w:rPr>
        <w:t xml:space="preserve"> Dyrektywa 2007/2/WE z dnia 14 marca 2007 r. ustanawiająca infrastrukturę informacji przestrzennej we Wspólnocie Europejskiej (INSPIRE).</w:t>
      </w:r>
    </w:p>
  </w:footnote>
  <w:footnote w:id="14">
    <w:p>
      <w:pPr>
        <w:pStyle w:val="FootnoteText"/>
        <w:jc w:val="both"/>
        <w:rPr>
          <w:sz w:val="20"/>
        </w:rPr>
      </w:pPr>
      <w:r>
        <w:rPr>
          <w:rStyle w:val="FootnoteReference"/>
          <w:sz w:val="20"/>
        </w:rPr>
        <w:footnoteRef/>
      </w:r>
      <w:r>
        <w:rPr>
          <w:sz w:val="20"/>
        </w:rPr>
        <w:t xml:space="preserve"> Rozporządzenie Parlamentu Europejskiego i Rady (UE) nr 910/2014 z dnia 23 lipca 2014 r. w sprawie identyfikacji elektronicznej i usług zaufania w odniesieniu do transakcji elektronicznych na rynku wewnętrznym oraz uchylające dyrektywę 1999/93/WE.</w:t>
      </w:r>
    </w:p>
  </w:footnote>
  <w:footnote w:id="15">
    <w:p>
      <w:pPr>
        <w:pStyle w:val="FootnoteText"/>
        <w:jc w:val="both"/>
        <w:rPr>
          <w:sz w:val="20"/>
        </w:rPr>
      </w:pPr>
      <w:r>
        <w:rPr>
          <w:rStyle w:val="FootnoteReference"/>
          <w:sz w:val="20"/>
        </w:rPr>
        <w:footnoteRef/>
      </w:r>
      <w:r>
        <w:rPr>
          <w:sz w:val="20"/>
        </w:rPr>
        <w:t xml:space="preserve"> COM/2016/178 final, komunikat Komisji Europejskiej do Parlamentu Europejskiego, Rady, Europejskiego Komitetu Ekonomiczno-Społecznego i Komitetu Regionów „Europejska inicjatywa dotycząca przetwarzania w chmurze – budowanie w Europie konkurencyjnej gospodarki opartej na danych i wiedzy”.</w:t>
      </w:r>
    </w:p>
  </w:footnote>
  <w:footnote w:id="16">
    <w:p>
      <w:pPr>
        <w:pStyle w:val="FootnoteText"/>
        <w:rPr>
          <w:sz w:val="20"/>
        </w:rPr>
      </w:pPr>
      <w:r>
        <w:rPr>
          <w:rStyle w:val="FootnoteReference"/>
          <w:sz w:val="20"/>
        </w:rPr>
        <w:footnoteRef/>
      </w:r>
      <w:r>
        <w:rPr>
          <w:sz w:val="20"/>
        </w:rPr>
        <w:t xml:space="preserve"> COM/2016/179 final, komunikat Komisji do Parlamentu Europejskiego, Rady, Europejskiego Komitetu Ekonomiczno-Społecznego i Komitetu Regionów „Plan działania UE na rzecz administracji elektronicznej na lata 2016–2020 – Przyspieszenie transformacji cyfrowej w administracji”.</w:t>
      </w:r>
    </w:p>
  </w:footnote>
  <w:footnote w:id="17">
    <w:p>
      <w:pPr>
        <w:pStyle w:val="FootnoteText"/>
        <w:jc w:val="both"/>
        <w:rPr>
          <w:sz w:val="20"/>
        </w:rPr>
      </w:pPr>
      <w:r>
        <w:rPr>
          <w:rStyle w:val="FootnoteReference"/>
          <w:sz w:val="20"/>
        </w:rPr>
        <w:footnoteRef/>
      </w:r>
      <w:r>
        <w:rPr>
          <w:sz w:val="20"/>
        </w:rPr>
        <w:t xml:space="preserve"> Inicjatywa dotycząca jednolitego rynku cyfrowego w ramach zbioru działań na rzecz administracji elektronicznej.</w:t>
      </w:r>
    </w:p>
  </w:footnote>
  <w:footnote w:id="18">
    <w:p>
      <w:pPr>
        <w:pStyle w:val="FootnoteText"/>
        <w:jc w:val="both"/>
        <w:rPr>
          <w:sz w:val="20"/>
        </w:rPr>
      </w:pPr>
      <w:r>
        <w:rPr>
          <w:rStyle w:val="FootnoteReference"/>
          <w:sz w:val="20"/>
        </w:rPr>
        <w:footnoteRef/>
      </w:r>
      <w:r>
        <w:rPr>
          <w:sz w:val="20"/>
        </w:rPr>
        <w:t xml:space="preserve"> W dokumencie roboczym służb Komisji SWD(2017)113 dotyczącym sprawozdania podsumowującego konsultacje wskazano, że państwa członkowskie i instytucje UE wspomniały, że nowe europejskie ramy interoperacyjności powinny (i) uwzględnić nowe tendencje w dziedzinie technologii (73 %); (ii) zapewnić praktyczne i lepiej ukierunkowane wytyczne dotyczące wdrażania wymogów związanych z interoperacyjnością (73 %) oraz (iii) zostać dostosowane do zmiany strategii UE, w szczególności strategii jednolitego rynku cyfrowego (65 %). </w:t>
      </w:r>
    </w:p>
  </w:footnote>
  <w:footnote w:id="19">
    <w:p>
      <w:pPr>
        <w:pStyle w:val="FootnoteText"/>
        <w:rPr>
          <w:sz w:val="20"/>
        </w:rPr>
      </w:pPr>
      <w:r>
        <w:rPr>
          <w:rStyle w:val="FootnoteReference"/>
          <w:sz w:val="20"/>
        </w:rPr>
        <w:footnoteRef/>
      </w:r>
      <w:r>
        <w:rPr>
          <w:sz w:val="20"/>
        </w:rPr>
        <w:t xml:space="preserve"> Dokument roboczy służ Komisji SWD(2017)112 w sprawie zmiany europejskich ram interoperacyjności – Analiza, szczegóły dotyczące wzrostu liczby zaleceń oraz wartość dodaną aktualizacji.</w:t>
      </w:r>
    </w:p>
  </w:footnote>
  <w:footnote w:id="20">
    <w:p>
      <w:pPr>
        <w:pStyle w:val="FootnoteText"/>
        <w:rPr>
          <w:sz w:val="20"/>
        </w:rPr>
      </w:pPr>
      <w:r>
        <w:rPr>
          <w:rStyle w:val="FootnoteReference"/>
          <w:sz w:val="20"/>
        </w:rPr>
        <w:footnoteRef/>
      </w:r>
      <w:r>
        <w:rPr>
          <w:sz w:val="20"/>
        </w:rPr>
        <w:t xml:space="preserve"> Z dokumentu roboczego służb Komisji SWD(2017)113 dotyczącego sprawozdania podsumowującego konsultacje wynika, że 87 % respondentów zgodziło się z tą wizją.</w:t>
      </w:r>
    </w:p>
  </w:footnote>
  <w:footnote w:id="21">
    <w:p>
      <w:pPr>
        <w:pStyle w:val="FootnoteText"/>
        <w:jc w:val="both"/>
        <w:rPr>
          <w:sz w:val="20"/>
        </w:rPr>
      </w:pPr>
      <w:r>
        <w:rPr>
          <w:rStyle w:val="FootnoteReference"/>
          <w:sz w:val="20"/>
        </w:rPr>
        <w:footnoteRef/>
      </w:r>
      <w:r>
        <w:rPr>
          <w:sz w:val="20"/>
        </w:rPr>
        <w:t xml:space="preserve"> Inicjatywy w zakresie interoperacyjności należy rozumieć jako działania i rozwiązania (tj. ramy, usługi i narzędzia), które przyczyniają się do poprawy kontaktów między europejskimi administracjami publicznymi na wszystkich poziomach, w tym dzielenie się informacjami i wiedzą pomiędzy organizacjami. Inicjatywy te powinny obejmować wszystkie warstwy interoperacyjności: prawną, organizacyjną, semantyczną i techniczną.</w:t>
      </w:r>
    </w:p>
  </w:footnote>
  <w:footnote w:id="22">
    <w:p>
      <w:pPr>
        <w:pStyle w:val="FootnoteText"/>
        <w:jc w:val="both"/>
        <w:rPr>
          <w:sz w:val="20"/>
        </w:rPr>
      </w:pPr>
      <w:r>
        <w:rPr>
          <w:rStyle w:val="FootnoteReference"/>
          <w:sz w:val="20"/>
        </w:rPr>
        <w:footnoteRef/>
      </w:r>
      <w:r>
        <w:rPr>
          <w:sz w:val="20"/>
        </w:rPr>
        <w:t xml:space="preserve"> Zasada proporcjonalności ogranicza działanie UE do tego, co jest konieczne do osiągnięcia uzgodnionych celów polityki. Oznacza to, że UE wybierze rozwiązania, które dadzą państwom członkowskim jak najwięcej swobody.</w:t>
      </w:r>
    </w:p>
  </w:footnote>
  <w:footnote w:id="23">
    <w:p>
      <w:pPr>
        <w:pStyle w:val="FootnoteText"/>
        <w:rPr>
          <w:sz w:val="20"/>
        </w:rPr>
      </w:pPr>
      <w:r>
        <w:rPr>
          <w:rStyle w:val="FootnoteReference"/>
          <w:sz w:val="20"/>
        </w:rPr>
        <w:footnoteRef/>
      </w:r>
      <w:r>
        <w:rPr>
          <w:sz w:val="20"/>
        </w:rPr>
        <w:t xml:space="preserve"> Decyzja (UE) 2015/2240 w sprawie ISA², art. 1 ust. 2.</w:t>
      </w:r>
    </w:p>
  </w:footnote>
  <w:footnote w:id="24">
    <w:p>
      <w:pPr>
        <w:pStyle w:val="FootnoteText"/>
        <w:rPr>
          <w:sz w:val="20"/>
        </w:rPr>
      </w:pPr>
      <w:r>
        <w:rPr>
          <w:rStyle w:val="FootnoteReference"/>
          <w:sz w:val="20"/>
        </w:rPr>
        <w:footnoteRef/>
      </w:r>
      <w:r>
        <w:rPr>
          <w:sz w:val="20"/>
        </w:rPr>
        <w:t xml:space="preserve"> Decyzja (UE) 2015/2240 w sprawie ISA², art. 1 ust. 3.</w:t>
      </w:r>
    </w:p>
  </w:footnote>
  <w:footnote w:id="25">
    <w:p>
      <w:pPr>
        <w:pStyle w:val="FootnoteText"/>
        <w:jc w:val="both"/>
        <w:rPr>
          <w:sz w:val="20"/>
        </w:rPr>
      </w:pPr>
      <w:r>
        <w:rPr>
          <w:rStyle w:val="FootnoteReference"/>
          <w:sz w:val="20"/>
        </w:rPr>
        <w:footnoteRef/>
      </w:r>
      <w:r>
        <w:rPr>
          <w:sz w:val="20"/>
        </w:rPr>
        <w:t xml:space="preserve"> Jak stwierdzono w sekcji 4.3.2 E-administracja w komunikacie „Strategia jednolitego rynku cyfrowego dla Europy” (COM(2015) 192 final).</w:t>
      </w:r>
    </w:p>
  </w:footnote>
  <w:footnote w:id="26">
    <w:p>
      <w:pPr>
        <w:pStyle w:val="FootnoteText"/>
        <w:jc w:val="both"/>
        <w:rPr>
          <w:sz w:val="20"/>
        </w:rPr>
      </w:pPr>
      <w:r>
        <w:rPr>
          <w:rStyle w:val="FootnoteReference"/>
          <w:sz w:val="20"/>
        </w:rPr>
        <w:footnoteRef/>
      </w:r>
      <w:r>
        <w:rPr>
          <w:sz w:val="20"/>
        </w:rPr>
        <w:t xml:space="preserve"> Jak stanowi art. 2 pkt 14 decyzji prawnej w sprawie ISA</w:t>
      </w:r>
      <w:r>
        <w:rPr>
          <w:sz w:val="20"/>
          <w:vertAlign w:val="superscript"/>
        </w:rPr>
        <w:t>2</w:t>
      </w:r>
      <w:r>
        <w:rPr>
          <w:sz w:val="20"/>
        </w:rPr>
        <w:t>, „kluczowe czynniki umożliwiające interoperacyjność” oznaczają rozwiązania interoperacyjne (np. usługi, narzędzia, normy i specyfikacje), które są niezbędne, aby umożliwić sprawne i skuteczne świadczenie usług publicznych przez wszystkie administracje.</w:t>
      </w:r>
    </w:p>
  </w:footnote>
  <w:footnote w:id="27">
    <w:p>
      <w:pPr>
        <w:pStyle w:val="FootnoteText"/>
        <w:rPr>
          <w:sz w:val="20"/>
        </w:rPr>
      </w:pPr>
      <w:r>
        <w:rPr>
          <w:rStyle w:val="FootnoteReference"/>
          <w:sz w:val="20"/>
        </w:rPr>
        <w:footnoteRef/>
      </w:r>
      <w:r>
        <w:rPr>
          <w:sz w:val="20"/>
        </w:rPr>
        <w:t xml:space="preserve"> Decyzja (UE) 2015/2240 w sprawie ISA², art. 3 lit. f).</w:t>
      </w:r>
    </w:p>
  </w:footnote>
  <w:footnote w:id="28">
    <w:p>
      <w:pPr>
        <w:pStyle w:val="FootnoteText"/>
        <w:rPr>
          <w:sz w:val="20"/>
        </w:rPr>
      </w:pPr>
      <w:r>
        <w:rPr>
          <w:rStyle w:val="FootnoteReference"/>
          <w:sz w:val="20"/>
        </w:rPr>
        <w:footnoteRef/>
      </w:r>
      <w:r>
        <w:rPr>
          <w:sz w:val="20"/>
        </w:rPr>
        <w:t xml:space="preserve"> Decyzja (UE) 2015/2240 w sprawie ISA², art. 3 lit. c).</w:t>
      </w:r>
    </w:p>
  </w:footnote>
  <w:footnote w:id="29">
    <w:p>
      <w:pPr>
        <w:pStyle w:val="FootnoteText"/>
        <w:rPr>
          <w:sz w:val="20"/>
        </w:rPr>
      </w:pPr>
      <w:r>
        <w:rPr>
          <w:rStyle w:val="FootnoteReference"/>
          <w:sz w:val="20"/>
        </w:rPr>
        <w:footnoteRef/>
      </w:r>
      <w:r>
        <w:rPr>
          <w:sz w:val="20"/>
        </w:rPr>
        <w:t xml:space="preserve"> Decyzja (UE) 2015/2240 w sprawie ISA², art. 3 lit. d).</w:t>
      </w:r>
    </w:p>
  </w:footnote>
  <w:footnote w:id="30">
    <w:p>
      <w:pPr>
        <w:pStyle w:val="FootnoteText"/>
        <w:jc w:val="both"/>
        <w:rPr>
          <w:sz w:val="20"/>
        </w:rPr>
      </w:pPr>
      <w:r>
        <w:rPr>
          <w:rStyle w:val="FootnoteReference"/>
          <w:sz w:val="20"/>
        </w:rPr>
        <w:footnoteRef/>
      </w:r>
      <w:r>
        <w:rPr>
          <w:sz w:val="20"/>
        </w:rPr>
        <w:t xml:space="preserve"> Rozporządzenie Parlamentu Europejskiego i Rady (UE) nr 1291/2013 z dnia 11 grudnia 2013 r. ustanawiające „Horyzont 2020” – program ramowy w zakresie badań naukowych i innowacji (2014–2020) oraz uchylające decyzję nr 1982/2006/WE, [Dz.U. L 347 z 20.12.2013, s. 104], Bruksela, 20.12.2013.</w:t>
      </w:r>
    </w:p>
  </w:footnote>
  <w:footnote w:id="31">
    <w:p>
      <w:pPr>
        <w:pStyle w:val="FootnoteText"/>
        <w:jc w:val="both"/>
        <w:rPr>
          <w:sz w:val="20"/>
        </w:rPr>
      </w:pPr>
      <w:r>
        <w:rPr>
          <w:rStyle w:val="FootnoteReference"/>
          <w:sz w:val="20"/>
        </w:rPr>
        <w:footnoteRef/>
      </w:r>
      <w:r>
        <w:rPr>
          <w:sz w:val="20"/>
        </w:rPr>
        <w:t xml:space="preserve"> Wyzwanie społeczne 6. „</w:t>
      </w:r>
      <w:r>
        <w:rPr>
          <w:color w:val="252525"/>
          <w:sz w:val="20"/>
        </w:rPr>
        <w:t>Europa w zmieniającym się świecie – integracyjne, innowacyjne i refleksyjne społeczeństwa</w:t>
      </w:r>
      <w:r>
        <w:rPr>
          <w:sz w:val="20"/>
        </w:rPr>
        <w:t>” w ramach programu „Horyzont 2020”.</w:t>
      </w:r>
    </w:p>
  </w:footnote>
  <w:footnote w:id="32">
    <w:p>
      <w:pPr>
        <w:pStyle w:val="FootnoteText"/>
        <w:jc w:val="both"/>
        <w:rPr>
          <w:sz w:val="20"/>
        </w:rPr>
      </w:pPr>
      <w:r>
        <w:rPr>
          <w:rStyle w:val="FootnoteReference"/>
          <w:sz w:val="20"/>
        </w:rPr>
        <w:footnoteRef/>
      </w:r>
      <w:r>
        <w:rPr>
          <w:sz w:val="20"/>
        </w:rPr>
        <w:t xml:space="preserve"> Rozporządzenie Parlamentu Europejskiego i Rady (UE) nr 283/2014 z dnia 11 marca 2014 r. w sprawie wytycznych dotyczących sieci transeuropejskich w dziedzinie infrastruktury telekomunikacyjnej, uchylające decyzję nr 1336/97/WE.</w:t>
      </w:r>
    </w:p>
  </w:footnote>
  <w:footnote w:id="33">
    <w:p>
      <w:pPr>
        <w:pStyle w:val="FootnoteText"/>
        <w:jc w:val="both"/>
        <w:rPr>
          <w:sz w:val="20"/>
        </w:rPr>
      </w:pPr>
      <w:r>
        <w:rPr>
          <w:rStyle w:val="FootnoteReference"/>
          <w:sz w:val="20"/>
        </w:rPr>
        <w:footnoteRef/>
      </w:r>
      <w:r>
        <w:rPr>
          <w:sz w:val="20"/>
        </w:rPr>
        <w:t xml:space="preserve"> </w:t>
      </w:r>
      <w:hyperlink r:id="rId2">
        <w:r>
          <w:rPr>
            <w:rStyle w:val="Hyperlink"/>
            <w:sz w:val="20"/>
          </w:rPr>
          <w:t>http://ec.europa.eu/regional_policy/pl/information/legislation/guidance/</w:t>
        </w:r>
      </w:hyperlink>
    </w:p>
  </w:footnote>
  <w:footnote w:id="34">
    <w:p>
      <w:pPr>
        <w:pStyle w:val="FootnoteText"/>
        <w:jc w:val="both"/>
        <w:rPr>
          <w:sz w:val="20"/>
        </w:rPr>
      </w:pPr>
      <w:r>
        <w:rPr>
          <w:rStyle w:val="FootnoteReference"/>
          <w:sz w:val="20"/>
        </w:rPr>
        <w:footnoteRef/>
      </w:r>
      <w:r>
        <w:rPr>
          <w:sz w:val="20"/>
        </w:rPr>
        <w:t xml:space="preserve"> Cel tematyczny nr 2 europejskich funduszy strukturalnych i inwestycyjnych.</w:t>
      </w:r>
    </w:p>
  </w:footnote>
  <w:footnote w:id="35">
    <w:p>
      <w:pPr>
        <w:pStyle w:val="FootnoteText"/>
        <w:jc w:val="both"/>
        <w:rPr>
          <w:sz w:val="20"/>
        </w:rPr>
      </w:pPr>
      <w:r>
        <w:rPr>
          <w:rStyle w:val="FootnoteReference"/>
          <w:sz w:val="20"/>
        </w:rPr>
        <w:footnoteRef/>
      </w:r>
      <w:r>
        <w:rPr>
          <w:sz w:val="20"/>
        </w:rPr>
        <w:t xml:space="preserve"> Cel tematyczny nr 11 europejskich funduszy strukturalnych i inwestycyjnych.</w:t>
      </w:r>
    </w:p>
  </w:footnote>
  <w:footnote w:id="36">
    <w:p>
      <w:pPr>
        <w:pStyle w:val="FootnoteText"/>
        <w:jc w:val="both"/>
        <w:rPr>
          <w:sz w:val="20"/>
        </w:rPr>
      </w:pPr>
      <w:r>
        <w:rPr>
          <w:rStyle w:val="FootnoteReference"/>
          <w:sz w:val="20"/>
        </w:rPr>
        <w:footnoteRef/>
      </w:r>
      <w:r>
        <w:rPr>
          <w:sz w:val="20"/>
        </w:rPr>
        <w:t xml:space="preserve"> </w:t>
      </w:r>
      <w:hyperlink r:id="rId3">
        <w:r>
          <w:rPr>
            <w:rStyle w:val="Hyperlink"/>
            <w:sz w:val="20"/>
          </w:rPr>
          <w:t>http://ec.europa.eu/about/srss/index_en.htm</w:t>
        </w:r>
      </w:hyperlink>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2548D4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DAA80E44"/>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19498AA"/>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6B40EB36"/>
    <w:name w:val="0,503835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315A89"/>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9">
    <w:nsid w:val="3FB84068"/>
    <w:multiLevelType w:val="hybridMultilevel"/>
    <w:tmpl w:val="27C2CA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7A14E6"/>
    <w:multiLevelType w:val="hybridMultilevel"/>
    <w:tmpl w:val="D2C4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A6601E7"/>
    <w:multiLevelType w:val="hybridMultilevel"/>
    <w:tmpl w:val="661C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4936E5"/>
    <w:multiLevelType w:val="multilevel"/>
    <w:tmpl w:val="9F9A5336"/>
    <w:numStyleLink w:val="NumbLstBTBullet"/>
  </w:abstractNum>
  <w:abstractNum w:abstractNumId="16">
    <w:nsid w:val="512C4D21"/>
    <w:multiLevelType w:val="hybridMultilevel"/>
    <w:tmpl w:val="587CEBC2"/>
    <w:lvl w:ilvl="0" w:tplc="223E3058">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86D11FA"/>
    <w:multiLevelType w:val="hybridMultilevel"/>
    <w:tmpl w:val="CA9A13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992"/>
        </w:tabs>
        <w:ind w:left="992" w:hanging="850"/>
      </w:pPr>
    </w:lvl>
  </w:abstractNum>
  <w:abstractNum w:abstractNumId="22">
    <w:nsid w:val="5DC75D63"/>
    <w:multiLevelType w:val="hybridMultilevel"/>
    <w:tmpl w:val="B9EA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DA35C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7427C0C"/>
    <w:multiLevelType w:val="hybridMultilevel"/>
    <w:tmpl w:val="5B7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91254"/>
    <w:multiLevelType w:val="hybridMultilevel"/>
    <w:tmpl w:val="9A2E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11"/>
  </w:num>
  <w:num w:numId="3">
    <w:abstractNumId w:val="24"/>
  </w:num>
  <w:num w:numId="4">
    <w:abstractNumId w:val="7"/>
  </w:num>
  <w:num w:numId="5">
    <w:abstractNumId w:val="12"/>
  </w:num>
  <w:num w:numId="6">
    <w:abstractNumId w:val="5"/>
  </w:num>
  <w:num w:numId="7">
    <w:abstractNumId w:val="4"/>
  </w:num>
  <w:num w:numId="8">
    <w:abstractNumId w:val="13"/>
  </w:num>
  <w:num w:numId="9">
    <w:abstractNumId w:val="19"/>
  </w:num>
  <w:num w:numId="10">
    <w:abstractNumId w:val="20"/>
  </w:num>
  <w:num w:numId="11">
    <w:abstractNumId w:val="6"/>
  </w:num>
  <w:num w:numId="12">
    <w:abstractNumId w:val="17"/>
  </w:num>
  <w:num w:numId="13">
    <w:abstractNumId w:val="27"/>
  </w:num>
  <w:num w:numId="14">
    <w:abstractNumId w:val="3"/>
  </w:num>
  <w:num w:numId="15">
    <w:abstractNumId w:val="2"/>
  </w:num>
  <w:num w:numId="16">
    <w:abstractNumId w:val="1"/>
  </w:num>
  <w:num w:numId="17">
    <w:abstractNumId w:val="0"/>
  </w:num>
  <w:num w:numId="18">
    <w:abstractNumId w:val="8"/>
  </w:num>
  <w:num w:numId="19">
    <w:abstractNumId w:val="15"/>
    <w:lvlOverride w:ilvl="0">
      <w:lvl w:ilvl="0">
        <w:start w:val="1"/>
        <w:numFmt w:val="bullet"/>
        <w:pStyle w:val="BTBullet1"/>
        <w:lvlText w:val="■"/>
        <w:lvlJc w:val="left"/>
        <w:pPr>
          <w:tabs>
            <w:tab w:val="num" w:pos="1191"/>
          </w:tabs>
          <w:ind w:left="1191" w:hanging="340"/>
        </w:pPr>
        <w:rPr>
          <w:rFonts w:ascii="Arial" w:hAnsi="Arial" w:hint="default"/>
          <w:color w:val="0067AC"/>
          <w:sz w:val="14"/>
        </w:rPr>
      </w:lvl>
    </w:lvlOverride>
  </w:num>
  <w:num w:numId="20">
    <w:abstractNumId w:val="16"/>
  </w:num>
  <w:num w:numId="21">
    <w:abstractNumId w:val="23"/>
  </w:num>
  <w:num w:numId="22">
    <w:abstractNumId w:val="10"/>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5"/>
  </w:num>
  <w:num w:numId="33">
    <w:abstractNumId w:val="23"/>
  </w:num>
  <w:num w:numId="34">
    <w:abstractNumId w:val="26"/>
  </w:num>
  <w:num w:numId="35">
    <w:abstractNumId w:val="22"/>
  </w:num>
  <w:num w:numId="36">
    <w:abstractNumId w:val="14"/>
  </w:num>
  <w:num w:numId="37">
    <w:abstractNumId w:val="9"/>
  </w:num>
  <w:num w:numId="3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AE57548A119F432DB20DAE2A4F5A7EA6"/>
    <w:docVar w:name="LW_CROSSREFERENCE" w:val="{SWD(2017) 112 final}_x000b_{SWD(2017) 113 final}"/>
    <w:docVar w:name="LW_DocType" w:val="NORMAL"/>
    <w:docVar w:name="LW_EMISSION" w:val="23.3.2017"/>
    <w:docVar w:name="LW_EMISSION_ISODATE" w:val="2017-03-23"/>
    <w:docVar w:name="LW_EMISSION_LOCATION" w:val="BRX"/>
    <w:docVar w:name="LW_EMISSION_PREFIX" w:val="Bruksela, dnia "/>
    <w:docVar w:name="LW_EMISSION_SUFFIX" w:val=" r."/>
    <w:docVar w:name="LW_ID_DOCTYPE_NONLW" w:val="CP-014"/>
    <w:docVar w:name="LW_LANGUE" w:val="PL"/>
    <w:docVar w:name="LW_MARKING" w:val="&lt;UNUSED&g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7) 134"/>
    <w:docVar w:name="LW_REF.INTERNE" w:val="&lt;UNUSED&gt;"/>
    <w:docVar w:name="LW_SOUS.TITRE.OBJ" w:val="A European Interoperability Strategy"/>
    <w:docVar w:name="LW_SOUS.TITRE.OBJ.CP" w:val="&lt;UNUSED&gt;"/>
    <w:docVar w:name="LW_SUPERTITRE" w:val="&lt;UNUSED&gt;"/>
    <w:docVar w:name="LW_TITRE.OBJ.CP" w:val="Europejskie ramy interoperacyjno\u347?ci \u8211? strategia wdra\u380?ania"/>
    <w:docVar w:name="LW_TYPE.DOC.CP" w:val="KOMUNIKAT KOMISJI DO PARLAMENTU EUROPEJSKIEGO, RADY, EUROPEJSKIEGO KOMITETU EKONOMICZNO-SPO\u321?ECZNEGO I KOMITETU REGIONÓW"/>
    <w:docVar w:name="LW_TYPE.DOC.CP.USERTEXT" w:val="&lt;EMPTY&gt;"/>
    <w:docVar w:name="Stamp" w:val="\\dossiers.dgt.cec.eu.int\dossiers\DIGIT\DIGIT-2016-00025\DIGIT-2016-00025-00-00-EN-REV-00.20161111103408018394.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endnote reference" w:uiPriority="0"/>
    <w:lsdException w:name="List Bullet" w:uiPriority="0"/>
    <w:lsdException w:name="List Bullet 2" w:uiPriority="0"/>
    <w:lsdException w:name="List Bullet 3" w:uiPriority="29"/>
    <w:lsdException w:name="List Bullet 4"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1"/>
      </w:numPr>
      <w:spacing w:before="360" w:after="24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autoRedefine/>
    <w:uiPriority w:val="9"/>
    <w:qFormat/>
    <w:pPr>
      <w:keepNext/>
      <w:numPr>
        <w:ilvl w:val="1"/>
        <w:numId w:val="21"/>
      </w:numPr>
      <w:spacing w:before="240" w:after="24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21"/>
      </w:numPr>
      <w:spacing w:before="120" w:after="120" w:line="240" w:lineRule="auto"/>
      <w:jc w:val="both"/>
      <w:outlineLvl w:val="2"/>
    </w:pPr>
    <w:rPr>
      <w:rFonts w:ascii="Times New Roman" w:eastAsia="Times New Roman" w:hAnsi="Times New Roman" w:cs="Times New Roman"/>
      <w:b/>
      <w:bCs/>
      <w:sz w:val="24"/>
      <w:szCs w:val="26"/>
    </w:rPr>
  </w:style>
  <w:style w:type="paragraph" w:styleId="Heading4">
    <w:name w:val="heading 4"/>
    <w:basedOn w:val="Normal"/>
    <w:next w:val="Text1"/>
    <w:link w:val="Heading4Char"/>
    <w:qFormat/>
    <w:pPr>
      <w:keepNext/>
      <w:numPr>
        <w:ilvl w:val="3"/>
        <w:numId w:val="21"/>
      </w:numPr>
      <w:spacing w:before="120" w:after="12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uiPriority w:val="9"/>
    <w:semiHidden/>
    <w:unhideWhenUsed/>
    <w:qFormat/>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val="pl-PL"/>
    </w:rPr>
  </w:style>
  <w:style w:type="paragraph" w:styleId="FootnoteText">
    <w:name w:val="footnote text"/>
    <w:basedOn w:val="Normal"/>
    <w:uiPriority w:val="99"/>
    <w:qFormat/>
    <w:pPr>
      <w:tabs>
        <w:tab w:val="left" w:pos="0"/>
      </w:tabs>
      <w:spacing w:after="0" w:line="240" w:lineRule="auto"/>
    </w:pPr>
    <w:rPr>
      <w:rFonts w:ascii="Times New Roman" w:eastAsia="Times New Roman" w:hAnsi="Times New Roman" w:cs="Times New Roman"/>
      <w:sz w:val="16"/>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uiPriority w:val="99"/>
    <w:rPr>
      <w:rFonts w:ascii="Times New Roman" w:eastAsia="Times New Roman" w:hAnsi="Times New Roman" w:cs="Times New Roman"/>
      <w:sz w:val="16"/>
      <w:szCs w:val="20"/>
      <w:lang w:val="pl-PL"/>
    </w:rPr>
  </w:style>
  <w:style w:type="paragraph" w:styleId="TOC1">
    <w:name w:val="toc 1"/>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noProof/>
      <w:sz w:val="24"/>
      <w:szCs w:val="24"/>
    </w:rPr>
  </w:style>
  <w:style w:type="paragraph" w:styleId="TOC2">
    <w:name w:val="toc 2"/>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 BVI f"/>
    <w:link w:val="FootnotesymbolCarZchn"/>
    <w:uiPriority w:val="99"/>
    <w:qFormat/>
    <w:rPr>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14"/>
      </w:numPr>
      <w:spacing w:before="120" w:after="120" w:line="240" w:lineRule="auto"/>
      <w:contextualSpacing/>
      <w:jc w:val="both"/>
    </w:pPr>
    <w:rPr>
      <w:rFonts w:ascii="Times New Roman" w:eastAsia="Times New Roman" w:hAnsi="Times New Roman" w:cs="Times New Roman"/>
      <w:sz w:val="24"/>
      <w:szCs w:val="24"/>
    </w:rPr>
  </w:style>
  <w:style w:type="paragraph" w:styleId="ListBullet2">
    <w:name w:val="List Bullet 2"/>
    <w:basedOn w:val="Normal"/>
    <w:pPr>
      <w:numPr>
        <w:numId w:val="15"/>
      </w:numPr>
      <w:spacing w:before="120" w:after="120" w:line="240" w:lineRule="auto"/>
      <w:contextualSpacing/>
      <w:jc w:val="both"/>
    </w:pPr>
    <w:rPr>
      <w:rFonts w:ascii="Times New Roman" w:eastAsia="Times New Roman" w:hAnsi="Times New Roman" w:cs="Times New Roman"/>
      <w:sz w:val="24"/>
      <w:szCs w:val="24"/>
    </w:rPr>
  </w:style>
  <w:style w:type="paragraph" w:styleId="ListBullet3">
    <w:name w:val="List Bullet 3"/>
    <w:basedOn w:val="Normal"/>
    <w:uiPriority w:val="29"/>
    <w:pPr>
      <w:numPr>
        <w:numId w:val="16"/>
      </w:numPr>
      <w:spacing w:before="120" w:after="120" w:line="240" w:lineRule="auto"/>
      <w:contextualSpacing/>
      <w:jc w:val="both"/>
    </w:pPr>
    <w:rPr>
      <w:rFonts w:ascii="Times New Roman" w:eastAsia="Times New Roman" w:hAnsi="Times New Roman" w:cs="Times New Roman"/>
      <w:sz w:val="24"/>
      <w:szCs w:val="24"/>
    </w:rPr>
  </w:style>
  <w:style w:type="paragraph" w:styleId="ListBullet4">
    <w:name w:val="List Bullet 4"/>
    <w:basedOn w:val="Normal"/>
    <w:pPr>
      <w:numPr>
        <w:numId w:val="17"/>
      </w:numPr>
      <w:spacing w:before="120" w:after="120" w:line="240" w:lineRule="auto"/>
      <w:contextualSpacing/>
      <w:jc w:val="both"/>
    </w:pPr>
    <w:rPr>
      <w:rFonts w:ascii="Times New Roman" w:eastAsia="Times New Roman" w:hAnsi="Times New Roman" w:cs="Times New Roman"/>
      <w:sz w:val="24"/>
      <w:szCs w:val="24"/>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standard3520normal">
    <w:name w:val="a_standard__35__20_normal"/>
    <w:basedOn w:val="Normal"/>
    <w:pPr>
      <w:spacing w:after="120" w:line="240" w:lineRule="auto"/>
      <w:ind w:right="57"/>
      <w:jc w:val="both"/>
    </w:pPr>
    <w:rPr>
      <w:rFonts w:ascii="Times New Roman" w:eastAsia="Times New Roman" w:hAnsi="Times New Roman" w:cs="Times New Roman"/>
      <w:b/>
      <w:bCs/>
      <w:sz w:val="24"/>
      <w:szCs w:val="24"/>
    </w:rPr>
  </w:style>
  <w:style w:type="character" w:customStyle="1" w:styleId="at21">
    <w:name w:val="a__t21"/>
    <w:rPr>
      <w:b w:val="0"/>
      <w:bCs w:val="0"/>
    </w:rPr>
  </w:style>
  <w:style w:type="character" w:customStyle="1" w:styleId="at12">
    <w:name w:val="a__t12"/>
    <w:rPr>
      <w:b w:val="0"/>
      <w:bCs w:val="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l-P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rPr>
  </w:style>
  <w:style w:type="paragraph" w:styleId="BalloonText">
    <w:name w:val="Balloon Text"/>
    <w:basedOn w:val="Normal"/>
    <w:link w:val="BalloonTextChar"/>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rPr>
      <w:rFonts w:ascii="Tahoma" w:eastAsia="Times New Roman" w:hAnsi="Tahoma" w:cs="Times New Roman"/>
      <w:sz w:val="16"/>
      <w:szCs w:val="16"/>
      <w:lang w:val="pl-PL"/>
    </w:rPr>
  </w:style>
  <w:style w:type="paragraph" w:customStyle="1" w:styleId="Headinsh2">
    <w:name w:val="Headinsh 2"/>
    <w:basedOn w:val="Text1"/>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paragraph" w:styleId="ListParagraph">
    <w:name w:val="List Paragraph"/>
    <w:aliases w:val="List Paragraph_Sections,1st level - Bullet List Paragraph,Lettre d'introduction,Paragrafo elenco,List Paragraph1,Medium Grid 1 - Accent 21"/>
    <w:basedOn w:val="Normal"/>
    <w:link w:val="ListParagraphChar"/>
    <w:uiPriority w:val="34"/>
    <w:qFormat/>
    <w:pPr>
      <w:spacing w:before="120" w:after="120" w:line="240" w:lineRule="auto"/>
      <w:ind w:left="708"/>
      <w:jc w:val="both"/>
    </w:pPr>
    <w:rPr>
      <w:rFonts w:ascii="Times New Roman" w:eastAsia="Times New Roman" w:hAnsi="Times New Roman" w:cs="Times New Roman"/>
      <w:sz w:val="24"/>
      <w:szCs w:val="24"/>
    </w:rPr>
  </w:style>
  <w:style w:type="character" w:styleId="FollowedHyperlink">
    <w:name w:val="FollowedHyperlink"/>
    <w:rPr>
      <w:color w:val="800080"/>
      <w:u w:val="single"/>
    </w:rPr>
  </w:style>
  <w:style w:type="paragraph" w:customStyle="1" w:styleId="Headig4">
    <w:name w:val="Headig 4"/>
    <w:basedOn w:val="Normal"/>
    <w:pPr>
      <w:autoSpaceDE w:val="0"/>
      <w:autoSpaceDN w:val="0"/>
      <w:adjustRightInd w:val="0"/>
      <w:spacing w:after="166" w:line="240" w:lineRule="auto"/>
      <w:jc w:val="both"/>
    </w:pPr>
    <w:rPr>
      <w:rFonts w:ascii="Times New Roman" w:eastAsia="Times New Roman" w:hAnsi="Times New Roman" w:cs="Times New Roman"/>
      <w:b/>
      <w:sz w:val="24"/>
      <w:szCs w:val="24"/>
    </w:rPr>
  </w:style>
  <w:style w:type="character" w:styleId="HTMLCite">
    <w:name w:val="HTML Cite"/>
    <w:uiPriority w:val="99"/>
    <w:unhideWhenUsed/>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ates1">
    <w:name w:val="t-dates1"/>
    <w:rPr>
      <w:color w:val="414141"/>
    </w:rPr>
  </w:style>
  <w:style w:type="character" w:customStyle="1" w:styleId="FootnoteCharacters">
    <w:name w:val="Footnote Characters"/>
    <w:rPr>
      <w:rFonts w:cs="Times New Roman"/>
      <w:vertAlign w:val="superscript"/>
    </w:rPr>
  </w:style>
  <w:style w:type="character" w:customStyle="1" w:styleId="Odwoanieprzypisudolnego2">
    <w:name w:val="Odwołanie przypisu dolnego2"/>
    <w:rPr>
      <w:vertAlign w:val="superscript"/>
    </w:rPr>
  </w:style>
  <w:style w:type="paragraph" w:styleId="EndnoteText">
    <w:name w:val="endnote text"/>
    <w:basedOn w:val="Normal"/>
    <w:link w:val="EndnoteTextChar1"/>
    <w:uiPriority w:val="99"/>
    <w:unhideWhenUsed/>
    <w:pPr>
      <w:spacing w:after="0" w:line="240" w:lineRule="auto"/>
      <w:jc w:val="both"/>
    </w:pPr>
    <w:rPr>
      <w:rFonts w:ascii="Times New Roman" w:eastAsia="Calibri" w:hAnsi="Times New Roman" w:cs="Times New Roman"/>
      <w:sz w:val="20"/>
      <w:szCs w:val="20"/>
    </w:rPr>
  </w:style>
  <w:style w:type="character" w:customStyle="1" w:styleId="EndnoteTextChar">
    <w:name w:val="Endnote Text Char"/>
    <w:basedOn w:val="DefaultParagraphFont"/>
    <w:rPr>
      <w:sz w:val="20"/>
      <w:szCs w:val="20"/>
    </w:rPr>
  </w:style>
  <w:style w:type="character" w:customStyle="1" w:styleId="A7">
    <w:name w:val="A7"/>
    <w:uiPriority w:val="99"/>
    <w:rPr>
      <w:rFonts w:ascii="TradeGothic" w:hAnsi="TradeGothic" w:cs="TradeGothic" w:hint="default"/>
      <w:color w:val="000000"/>
      <w:sz w:val="17"/>
      <w:szCs w:val="17"/>
    </w:rPr>
  </w:style>
  <w:style w:type="character" w:customStyle="1" w:styleId="EndnoteTextChar1">
    <w:name w:val="Endnote Text Char1"/>
    <w:link w:val="EndnoteText"/>
    <w:uiPriority w:val="99"/>
    <w:locked/>
    <w:rPr>
      <w:rFonts w:ascii="Times New Roman" w:eastAsia="Calibri" w:hAnsi="Times New Roman" w:cs="Times New Roman"/>
      <w:sz w:val="20"/>
      <w:szCs w:val="20"/>
      <w:lang w:val="pl-PL" w:eastAsia="pl-PL"/>
    </w:rPr>
  </w:style>
  <w:style w:type="paragraph" w:customStyle="1" w:styleId="Heaing2">
    <w:name w:val="Heaing 2"/>
    <w:basedOn w:val="Heading3"/>
    <w:rPr>
      <w:b w:val="0"/>
      <w:i/>
    </w:rPr>
  </w:style>
  <w:style w:type="paragraph" w:customStyle="1" w:styleId="Headung3">
    <w:name w:val="Headung 3"/>
    <w:basedOn w:val="Normal"/>
    <w:rPr>
      <w:rFonts w:ascii="Times New Roman" w:eastAsia="Calibri" w:hAnsi="Times New Roman" w:cs="Times New Roman"/>
      <w:color w:val="000000"/>
      <w:sz w:val="24"/>
      <w:szCs w:val="24"/>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rPr>
  </w:style>
  <w:style w:type="paragraph" w:customStyle="1" w:styleId="BTBullet1">
    <w:name w:val="BTBullet1"/>
    <w:basedOn w:val="Normal"/>
    <w:uiPriority w:val="6"/>
    <w:qFormat/>
    <w:pPr>
      <w:numPr>
        <w:numId w:val="19"/>
      </w:numPr>
      <w:spacing w:after="0" w:line="240" w:lineRule="atLeast"/>
    </w:pPr>
    <w:rPr>
      <w:rFonts w:ascii="Arial" w:eastAsia="Calibri" w:hAnsi="Arial" w:cs="Times New Roman"/>
      <w:sz w:val="20"/>
      <w:szCs w:val="24"/>
    </w:rPr>
  </w:style>
  <w:style w:type="paragraph" w:customStyle="1" w:styleId="BTBullet2">
    <w:name w:val="BTBullet2"/>
    <w:basedOn w:val="Normal"/>
    <w:uiPriority w:val="6"/>
    <w:qFormat/>
    <w:pPr>
      <w:numPr>
        <w:ilvl w:val="1"/>
        <w:numId w:val="19"/>
      </w:numPr>
      <w:spacing w:after="0" w:line="240" w:lineRule="atLeast"/>
    </w:pPr>
    <w:rPr>
      <w:rFonts w:ascii="Arial" w:eastAsia="Calibri" w:hAnsi="Arial" w:cs="Times New Roman"/>
      <w:sz w:val="20"/>
      <w:szCs w:val="24"/>
    </w:rPr>
  </w:style>
  <w:style w:type="paragraph" w:customStyle="1" w:styleId="BTBullet3">
    <w:name w:val="BTBullet3"/>
    <w:basedOn w:val="Normal"/>
    <w:uiPriority w:val="6"/>
    <w:qFormat/>
    <w:pPr>
      <w:numPr>
        <w:ilvl w:val="2"/>
        <w:numId w:val="19"/>
      </w:numPr>
      <w:spacing w:after="0" w:line="240" w:lineRule="atLeast"/>
    </w:pPr>
    <w:rPr>
      <w:rFonts w:ascii="Arial" w:eastAsia="Calibri" w:hAnsi="Arial" w:cs="Times New Roman"/>
      <w:sz w:val="20"/>
      <w:szCs w:val="24"/>
    </w:rPr>
  </w:style>
  <w:style w:type="numbering" w:customStyle="1" w:styleId="NumbLstBTBullet">
    <w:name w:val="NumbLstBTBullet"/>
    <w:uiPriority w:val="99"/>
    <w:pPr>
      <w:numPr>
        <w:numId w:val="18"/>
      </w:numPr>
    </w:p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rPr>
      <w:vertAlign w:val="superscript"/>
    </w:rPr>
  </w:style>
  <w:style w:type="paragraph" w:styleId="Caption">
    <w:name w:val="caption"/>
    <w:aliases w:val="Char Char Char,Char Char Char Char Char Char,Char Char Char Char,Char Char Char Char Char,Caption Char1,Char Char Char Char1,Char Char Char Char Char Char1,Char Char Char Char Char1 Char Char,topic,CaptionTLS,CaptionCFMU,figura,RptCaption"/>
    <w:basedOn w:val="Normal"/>
    <w:next w:val="Normal"/>
    <w:link w:val="CaptionChar"/>
    <w:uiPriority w:val="35"/>
    <w:unhideWhenUsed/>
    <w:qFormat/>
    <w:pPr>
      <w:keepNext/>
      <w:keepLines/>
      <w:widowControl w:val="0"/>
      <w:spacing w:before="240" w:after="120" w:line="360" w:lineRule="auto"/>
      <w:contextualSpacing/>
      <w:jc w:val="center"/>
    </w:pPr>
    <w:rPr>
      <w:rFonts w:eastAsia="Times New Roman" w:cstheme="minorHAnsi"/>
      <w:b/>
      <w:bCs/>
      <w:color w:val="002060"/>
      <w:sz w:val="18"/>
      <w:szCs w:val="18"/>
    </w:rPr>
  </w:style>
  <w:style w:type="table" w:customStyle="1" w:styleId="EuropeanCommissionstyle">
    <w:name w:val="European Commission style"/>
    <w:basedOn w:val="TableNormal"/>
    <w:uiPriority w:val="99"/>
    <w:pPr>
      <w:spacing w:after="0" w:line="240" w:lineRule="auto"/>
    </w:pPr>
    <w:rPr>
      <w:rFonts w:ascii="Verdana" w:eastAsia="Times New Roman" w:hAnsi="Verdana" w:cs="Times New Roman"/>
      <w:sz w:val="12"/>
      <w:szCs w:val="20"/>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hemeFill="background1" w:themeFillShade="F2"/>
    </w:tcPr>
    <w:tblStylePr w:type="firstRow">
      <w:rPr>
        <w:rFonts w:ascii="Marlett" w:hAnsi="Marlett"/>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character" w:customStyle="1" w:styleId="CaptionChar">
    <w:name w:val="Caption Char"/>
    <w:aliases w:val="Char Char Char Char2,Char Char Char Char Char Char Char,Char Char Char Char Char1,Char Char Char Char Char Char2,Caption Char1 Char,Char Char Char Char1 Char,Char Char Char Char Char Char1 Char,Char Char Char Char Char1 Char Char Char"/>
    <w:link w:val="Caption"/>
    <w:uiPriority w:val="35"/>
    <w:locked/>
    <w:rPr>
      <w:rFonts w:eastAsia="Times New Roman" w:cstheme="minorHAnsi"/>
      <w:b/>
      <w:bCs/>
      <w:color w:val="002060"/>
      <w:sz w:val="18"/>
      <w:szCs w:val="18"/>
      <w:lang w:eastAsia="pl-PL"/>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MAINPARAGRAPH">
    <w:name w:val="MAIN PARAGRAPH"/>
    <w:basedOn w:val="Normal"/>
    <w:link w:val="MAINPARAGRAPHChar"/>
    <w:qFormat/>
    <w:pPr>
      <w:spacing w:before="120" w:after="120" w:line="360" w:lineRule="auto"/>
      <w:jc w:val="both"/>
    </w:pPr>
    <w:rPr>
      <w:rFonts w:ascii="Arial" w:eastAsia="Times New Roman" w:hAnsi="Arial" w:cs="Times New Roman"/>
      <w:color w:val="000000" w:themeColor="text1"/>
      <w:sz w:val="19"/>
      <w:szCs w:val="19"/>
    </w:rPr>
  </w:style>
  <w:style w:type="character" w:customStyle="1" w:styleId="MAINPARAGRAPHChar">
    <w:name w:val="MAIN PARAGRAPH Char"/>
    <w:basedOn w:val="DefaultParagraphFont"/>
    <w:link w:val="MAINPARAGRAPH"/>
    <w:rPr>
      <w:rFonts w:ascii="Arial" w:eastAsia="Times New Roman" w:hAnsi="Arial" w:cs="Times New Roman"/>
      <w:color w:val="000000" w:themeColor="text1"/>
      <w:sz w:val="19"/>
      <w:szCs w:val="19"/>
      <w:lang w:eastAsia="pl-PL"/>
    </w:rPr>
  </w:style>
  <w:style w:type="character" w:styleId="Strong">
    <w:name w:val="Strong"/>
    <w:basedOn w:val="DefaultParagraphFont"/>
    <w:uiPriority w:val="22"/>
    <w:qFormat/>
    <w:rPr>
      <w:rFonts w:ascii="Times New Roman" w:hAnsi="Times New Roman" w:cs="Times New Roman" w:hint="default"/>
      <w:b/>
      <w:bCs/>
    </w:rPr>
  </w:style>
  <w:style w:type="table" w:styleId="LightShading-Accent5">
    <w:name w:val="Light Shading Accent 5"/>
    <w:basedOn w:val="TableNormal"/>
    <w:uiPriority w:val="6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orpsdutexte">
    <w:name w:val="Corps du texte_"/>
    <w:basedOn w:val="DefaultParagraphFont"/>
    <w:link w:val="Corpsdutexte0"/>
    <w:rPr>
      <w:shd w:val="clear" w:color="auto" w:fill="FFFFFF"/>
    </w:rPr>
  </w:style>
  <w:style w:type="paragraph" w:customStyle="1" w:styleId="Corpsdutexte0">
    <w:name w:val="Corps du texte"/>
    <w:basedOn w:val="Normal"/>
    <w:link w:val="Corpsdutexte"/>
    <w:pPr>
      <w:widowControl w:val="0"/>
      <w:shd w:val="clear" w:color="auto" w:fill="FFFFFF"/>
      <w:spacing w:after="0" w:line="0" w:lineRule="atLeast"/>
    </w:pPr>
  </w:style>
  <w:style w:type="table" w:customStyle="1" w:styleId="LightShading-Accent51">
    <w:name w:val="Light Shading - Accent 51"/>
    <w:basedOn w:val="TableNormal"/>
    <w:next w:val="LightShading-Accent5"/>
    <w:uiPriority w:val="6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4">
    <w:name w:val="Table Grid4"/>
    <w:basedOn w:val="TableNormal"/>
    <w:next w:val="TableGrid"/>
    <w:uiPriority w:val="5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_Sections Char,1st level - Bullet List Paragraph Char,Lettre d'introduction Char,Paragrafo elenco Char,List Paragraph1 Char,Medium Grid 1 - Accent 21 Char"/>
    <w:basedOn w:val="DefaultParagraphFont"/>
    <w:link w:val="ListParagraph"/>
    <w:uiPriority w:val="34"/>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qFormat/>
    <w:pPr>
      <w:numPr>
        <w:ilvl w:val="1"/>
      </w:numPr>
      <w:spacing w:before="120" w:after="160" w:line="240" w:lineRule="auto"/>
      <w:jc w:val="both"/>
    </w:pPr>
    <w:rPr>
      <w:rFonts w:eastAsiaTheme="minorEastAsia"/>
      <w:color w:val="5A5A5A" w:themeColor="text1" w:themeTint="A5"/>
      <w:spacing w:val="15"/>
    </w:rPr>
  </w:style>
  <w:style w:type="character" w:customStyle="1" w:styleId="SubtitleChar">
    <w:name w:val="Subtitle Char"/>
    <w:basedOn w:val="DefaultParagraphFont"/>
    <w:link w:val="Subtitle"/>
    <w:rPr>
      <w:rFonts w:eastAsiaTheme="minorEastAsia"/>
      <w:color w:val="5A5A5A" w:themeColor="text1" w:themeTint="A5"/>
      <w:spacing w:val="15"/>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IntenseEmphasis">
    <w:name w:val="Intense Emphasis"/>
    <w:basedOn w:val="DefaultParagraphFont"/>
    <w:uiPriority w:val="21"/>
    <w:qFormat/>
    <w:rPr>
      <w:i/>
      <w:iCs/>
      <w:color w:val="4F81BD" w:themeColor="accent1"/>
    </w:rPr>
  </w:style>
  <w:style w:type="paragraph" w:styleId="TableofFigures">
    <w:name w:val="table of figures"/>
    <w:basedOn w:val="Normal"/>
    <w:next w:val="Normal"/>
    <w:uiPriority w:val="99"/>
    <w:unhideWhenUsed/>
    <w:pPr>
      <w:spacing w:after="0"/>
    </w:pPr>
  </w:style>
  <w:style w:type="table" w:customStyle="1" w:styleId="EuropeanCommissionstyle1">
    <w:name w:val="European Commission style1"/>
    <w:basedOn w:val="TableNormal"/>
    <w:uiPriority w:val="99"/>
    <w:pPr>
      <w:spacing w:after="0" w:line="240" w:lineRule="auto"/>
    </w:pPr>
    <w:rPr>
      <w:rFonts w:ascii="Verdana" w:eastAsia="Times New Roman" w:hAnsi="Verdana" w:cs="Times New Roman"/>
      <w:sz w:val="12"/>
      <w:szCs w:val="20"/>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cPr>
    <w:tblStylePr w:type="firstRow">
      <w:rPr>
        <w:rFonts w:ascii="@Batang" w:hAnsi="@Batang"/>
        <w:b/>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endnote reference" w:uiPriority="0"/>
    <w:lsdException w:name="List Bullet" w:uiPriority="0"/>
    <w:lsdException w:name="List Bullet 2" w:uiPriority="0"/>
    <w:lsdException w:name="List Bullet 3" w:uiPriority="29"/>
    <w:lsdException w:name="List Bullet 4"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1"/>
      </w:numPr>
      <w:spacing w:before="360" w:after="24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autoRedefine/>
    <w:uiPriority w:val="9"/>
    <w:qFormat/>
    <w:pPr>
      <w:keepNext/>
      <w:numPr>
        <w:ilvl w:val="1"/>
        <w:numId w:val="21"/>
      </w:numPr>
      <w:spacing w:before="240" w:after="24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21"/>
      </w:numPr>
      <w:spacing w:before="120" w:after="120" w:line="240" w:lineRule="auto"/>
      <w:jc w:val="both"/>
      <w:outlineLvl w:val="2"/>
    </w:pPr>
    <w:rPr>
      <w:rFonts w:ascii="Times New Roman" w:eastAsia="Times New Roman" w:hAnsi="Times New Roman" w:cs="Times New Roman"/>
      <w:b/>
      <w:bCs/>
      <w:sz w:val="24"/>
      <w:szCs w:val="26"/>
    </w:rPr>
  </w:style>
  <w:style w:type="paragraph" w:styleId="Heading4">
    <w:name w:val="heading 4"/>
    <w:basedOn w:val="Normal"/>
    <w:next w:val="Text1"/>
    <w:link w:val="Heading4Char"/>
    <w:qFormat/>
    <w:pPr>
      <w:keepNext/>
      <w:numPr>
        <w:ilvl w:val="3"/>
        <w:numId w:val="21"/>
      </w:numPr>
      <w:spacing w:before="120" w:after="12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uiPriority w:val="9"/>
    <w:semiHidden/>
    <w:unhideWhenUsed/>
    <w:qFormat/>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val="pl-PL"/>
    </w:rPr>
  </w:style>
  <w:style w:type="paragraph" w:styleId="FootnoteText">
    <w:name w:val="footnote text"/>
    <w:basedOn w:val="Normal"/>
    <w:uiPriority w:val="99"/>
    <w:qFormat/>
    <w:pPr>
      <w:tabs>
        <w:tab w:val="left" w:pos="0"/>
      </w:tabs>
      <w:spacing w:after="0" w:line="240" w:lineRule="auto"/>
    </w:pPr>
    <w:rPr>
      <w:rFonts w:ascii="Times New Roman" w:eastAsia="Times New Roman" w:hAnsi="Times New Roman" w:cs="Times New Roman"/>
      <w:sz w:val="16"/>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uiPriority w:val="99"/>
    <w:rPr>
      <w:rFonts w:ascii="Times New Roman" w:eastAsia="Times New Roman" w:hAnsi="Times New Roman" w:cs="Times New Roman"/>
      <w:sz w:val="16"/>
      <w:szCs w:val="20"/>
      <w:lang w:val="pl-PL"/>
    </w:rPr>
  </w:style>
  <w:style w:type="paragraph" w:styleId="TOC1">
    <w:name w:val="toc 1"/>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noProof/>
      <w:sz w:val="24"/>
      <w:szCs w:val="24"/>
    </w:rPr>
  </w:style>
  <w:style w:type="paragraph" w:styleId="TOC2">
    <w:name w:val="toc 2"/>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 BVI f"/>
    <w:link w:val="FootnotesymbolCarZchn"/>
    <w:uiPriority w:val="99"/>
    <w:qFormat/>
    <w:rPr>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14"/>
      </w:numPr>
      <w:spacing w:before="120" w:after="120" w:line="240" w:lineRule="auto"/>
      <w:contextualSpacing/>
      <w:jc w:val="both"/>
    </w:pPr>
    <w:rPr>
      <w:rFonts w:ascii="Times New Roman" w:eastAsia="Times New Roman" w:hAnsi="Times New Roman" w:cs="Times New Roman"/>
      <w:sz w:val="24"/>
      <w:szCs w:val="24"/>
    </w:rPr>
  </w:style>
  <w:style w:type="paragraph" w:styleId="ListBullet2">
    <w:name w:val="List Bullet 2"/>
    <w:basedOn w:val="Normal"/>
    <w:pPr>
      <w:numPr>
        <w:numId w:val="15"/>
      </w:numPr>
      <w:spacing w:before="120" w:after="120" w:line="240" w:lineRule="auto"/>
      <w:contextualSpacing/>
      <w:jc w:val="both"/>
    </w:pPr>
    <w:rPr>
      <w:rFonts w:ascii="Times New Roman" w:eastAsia="Times New Roman" w:hAnsi="Times New Roman" w:cs="Times New Roman"/>
      <w:sz w:val="24"/>
      <w:szCs w:val="24"/>
    </w:rPr>
  </w:style>
  <w:style w:type="paragraph" w:styleId="ListBullet3">
    <w:name w:val="List Bullet 3"/>
    <w:basedOn w:val="Normal"/>
    <w:uiPriority w:val="29"/>
    <w:pPr>
      <w:numPr>
        <w:numId w:val="16"/>
      </w:numPr>
      <w:spacing w:before="120" w:after="120" w:line="240" w:lineRule="auto"/>
      <w:contextualSpacing/>
      <w:jc w:val="both"/>
    </w:pPr>
    <w:rPr>
      <w:rFonts w:ascii="Times New Roman" w:eastAsia="Times New Roman" w:hAnsi="Times New Roman" w:cs="Times New Roman"/>
      <w:sz w:val="24"/>
      <w:szCs w:val="24"/>
    </w:rPr>
  </w:style>
  <w:style w:type="paragraph" w:styleId="ListBullet4">
    <w:name w:val="List Bullet 4"/>
    <w:basedOn w:val="Normal"/>
    <w:pPr>
      <w:numPr>
        <w:numId w:val="17"/>
      </w:numPr>
      <w:spacing w:before="120" w:after="120" w:line="240" w:lineRule="auto"/>
      <w:contextualSpacing/>
      <w:jc w:val="both"/>
    </w:pPr>
    <w:rPr>
      <w:rFonts w:ascii="Times New Roman" w:eastAsia="Times New Roman" w:hAnsi="Times New Roman" w:cs="Times New Roman"/>
      <w:sz w:val="24"/>
      <w:szCs w:val="24"/>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standard3520normal">
    <w:name w:val="a_standard__35__20_normal"/>
    <w:basedOn w:val="Normal"/>
    <w:pPr>
      <w:spacing w:after="120" w:line="240" w:lineRule="auto"/>
      <w:ind w:right="57"/>
      <w:jc w:val="both"/>
    </w:pPr>
    <w:rPr>
      <w:rFonts w:ascii="Times New Roman" w:eastAsia="Times New Roman" w:hAnsi="Times New Roman" w:cs="Times New Roman"/>
      <w:b/>
      <w:bCs/>
      <w:sz w:val="24"/>
      <w:szCs w:val="24"/>
    </w:rPr>
  </w:style>
  <w:style w:type="character" w:customStyle="1" w:styleId="at21">
    <w:name w:val="a__t21"/>
    <w:rPr>
      <w:b w:val="0"/>
      <w:bCs w:val="0"/>
    </w:rPr>
  </w:style>
  <w:style w:type="character" w:customStyle="1" w:styleId="at12">
    <w:name w:val="a__t12"/>
    <w:rPr>
      <w:b w:val="0"/>
      <w:bCs w:val="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l-P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rPr>
  </w:style>
  <w:style w:type="paragraph" w:styleId="BalloonText">
    <w:name w:val="Balloon Text"/>
    <w:basedOn w:val="Normal"/>
    <w:link w:val="BalloonTextChar"/>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rPr>
      <w:rFonts w:ascii="Tahoma" w:eastAsia="Times New Roman" w:hAnsi="Tahoma" w:cs="Times New Roman"/>
      <w:sz w:val="16"/>
      <w:szCs w:val="16"/>
      <w:lang w:val="pl-PL"/>
    </w:rPr>
  </w:style>
  <w:style w:type="paragraph" w:customStyle="1" w:styleId="Headinsh2">
    <w:name w:val="Headinsh 2"/>
    <w:basedOn w:val="Text1"/>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paragraph" w:styleId="ListParagraph">
    <w:name w:val="List Paragraph"/>
    <w:aliases w:val="List Paragraph_Sections,1st level - Bullet List Paragraph,Lettre d'introduction,Paragrafo elenco,List Paragraph1,Medium Grid 1 - Accent 21"/>
    <w:basedOn w:val="Normal"/>
    <w:link w:val="ListParagraphChar"/>
    <w:uiPriority w:val="34"/>
    <w:qFormat/>
    <w:pPr>
      <w:spacing w:before="120" w:after="120" w:line="240" w:lineRule="auto"/>
      <w:ind w:left="708"/>
      <w:jc w:val="both"/>
    </w:pPr>
    <w:rPr>
      <w:rFonts w:ascii="Times New Roman" w:eastAsia="Times New Roman" w:hAnsi="Times New Roman" w:cs="Times New Roman"/>
      <w:sz w:val="24"/>
      <w:szCs w:val="24"/>
    </w:rPr>
  </w:style>
  <w:style w:type="character" w:styleId="FollowedHyperlink">
    <w:name w:val="FollowedHyperlink"/>
    <w:rPr>
      <w:color w:val="800080"/>
      <w:u w:val="single"/>
    </w:rPr>
  </w:style>
  <w:style w:type="paragraph" w:customStyle="1" w:styleId="Headig4">
    <w:name w:val="Headig 4"/>
    <w:basedOn w:val="Normal"/>
    <w:pPr>
      <w:autoSpaceDE w:val="0"/>
      <w:autoSpaceDN w:val="0"/>
      <w:adjustRightInd w:val="0"/>
      <w:spacing w:after="166" w:line="240" w:lineRule="auto"/>
      <w:jc w:val="both"/>
    </w:pPr>
    <w:rPr>
      <w:rFonts w:ascii="Times New Roman" w:eastAsia="Times New Roman" w:hAnsi="Times New Roman" w:cs="Times New Roman"/>
      <w:b/>
      <w:sz w:val="24"/>
      <w:szCs w:val="24"/>
    </w:rPr>
  </w:style>
  <w:style w:type="character" w:styleId="HTMLCite">
    <w:name w:val="HTML Cite"/>
    <w:uiPriority w:val="99"/>
    <w:unhideWhenUsed/>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ates1">
    <w:name w:val="t-dates1"/>
    <w:rPr>
      <w:color w:val="414141"/>
    </w:rPr>
  </w:style>
  <w:style w:type="character" w:customStyle="1" w:styleId="FootnoteCharacters">
    <w:name w:val="Footnote Characters"/>
    <w:rPr>
      <w:rFonts w:cs="Times New Roman"/>
      <w:vertAlign w:val="superscript"/>
    </w:rPr>
  </w:style>
  <w:style w:type="character" w:customStyle="1" w:styleId="Odwoanieprzypisudolnego2">
    <w:name w:val="Odwołanie przypisu dolnego2"/>
    <w:rPr>
      <w:vertAlign w:val="superscript"/>
    </w:rPr>
  </w:style>
  <w:style w:type="paragraph" w:styleId="EndnoteText">
    <w:name w:val="endnote text"/>
    <w:basedOn w:val="Normal"/>
    <w:link w:val="EndnoteTextChar1"/>
    <w:uiPriority w:val="99"/>
    <w:unhideWhenUsed/>
    <w:pPr>
      <w:spacing w:after="0" w:line="240" w:lineRule="auto"/>
      <w:jc w:val="both"/>
    </w:pPr>
    <w:rPr>
      <w:rFonts w:ascii="Times New Roman" w:eastAsia="Calibri" w:hAnsi="Times New Roman" w:cs="Times New Roman"/>
      <w:sz w:val="20"/>
      <w:szCs w:val="20"/>
    </w:rPr>
  </w:style>
  <w:style w:type="character" w:customStyle="1" w:styleId="EndnoteTextChar">
    <w:name w:val="Endnote Text Char"/>
    <w:basedOn w:val="DefaultParagraphFont"/>
    <w:rPr>
      <w:sz w:val="20"/>
      <w:szCs w:val="20"/>
    </w:rPr>
  </w:style>
  <w:style w:type="character" w:customStyle="1" w:styleId="A7">
    <w:name w:val="A7"/>
    <w:uiPriority w:val="99"/>
    <w:rPr>
      <w:rFonts w:ascii="TradeGothic" w:hAnsi="TradeGothic" w:cs="TradeGothic" w:hint="default"/>
      <w:color w:val="000000"/>
      <w:sz w:val="17"/>
      <w:szCs w:val="17"/>
    </w:rPr>
  </w:style>
  <w:style w:type="character" w:customStyle="1" w:styleId="EndnoteTextChar1">
    <w:name w:val="Endnote Text Char1"/>
    <w:link w:val="EndnoteText"/>
    <w:uiPriority w:val="99"/>
    <w:locked/>
    <w:rPr>
      <w:rFonts w:ascii="Times New Roman" w:eastAsia="Calibri" w:hAnsi="Times New Roman" w:cs="Times New Roman"/>
      <w:sz w:val="20"/>
      <w:szCs w:val="20"/>
      <w:lang w:val="pl-PL" w:eastAsia="pl-PL"/>
    </w:rPr>
  </w:style>
  <w:style w:type="paragraph" w:customStyle="1" w:styleId="Heaing2">
    <w:name w:val="Heaing 2"/>
    <w:basedOn w:val="Heading3"/>
    <w:rPr>
      <w:b w:val="0"/>
      <w:i/>
    </w:rPr>
  </w:style>
  <w:style w:type="paragraph" w:customStyle="1" w:styleId="Headung3">
    <w:name w:val="Headung 3"/>
    <w:basedOn w:val="Normal"/>
    <w:rPr>
      <w:rFonts w:ascii="Times New Roman" w:eastAsia="Calibri" w:hAnsi="Times New Roman" w:cs="Times New Roman"/>
      <w:color w:val="000000"/>
      <w:sz w:val="24"/>
      <w:szCs w:val="24"/>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rPr>
  </w:style>
  <w:style w:type="paragraph" w:customStyle="1" w:styleId="BTBullet1">
    <w:name w:val="BTBullet1"/>
    <w:basedOn w:val="Normal"/>
    <w:uiPriority w:val="6"/>
    <w:qFormat/>
    <w:pPr>
      <w:numPr>
        <w:numId w:val="19"/>
      </w:numPr>
      <w:spacing w:after="0" w:line="240" w:lineRule="atLeast"/>
    </w:pPr>
    <w:rPr>
      <w:rFonts w:ascii="Arial" w:eastAsia="Calibri" w:hAnsi="Arial" w:cs="Times New Roman"/>
      <w:sz w:val="20"/>
      <w:szCs w:val="24"/>
    </w:rPr>
  </w:style>
  <w:style w:type="paragraph" w:customStyle="1" w:styleId="BTBullet2">
    <w:name w:val="BTBullet2"/>
    <w:basedOn w:val="Normal"/>
    <w:uiPriority w:val="6"/>
    <w:qFormat/>
    <w:pPr>
      <w:numPr>
        <w:ilvl w:val="1"/>
        <w:numId w:val="19"/>
      </w:numPr>
      <w:spacing w:after="0" w:line="240" w:lineRule="atLeast"/>
    </w:pPr>
    <w:rPr>
      <w:rFonts w:ascii="Arial" w:eastAsia="Calibri" w:hAnsi="Arial" w:cs="Times New Roman"/>
      <w:sz w:val="20"/>
      <w:szCs w:val="24"/>
    </w:rPr>
  </w:style>
  <w:style w:type="paragraph" w:customStyle="1" w:styleId="BTBullet3">
    <w:name w:val="BTBullet3"/>
    <w:basedOn w:val="Normal"/>
    <w:uiPriority w:val="6"/>
    <w:qFormat/>
    <w:pPr>
      <w:numPr>
        <w:ilvl w:val="2"/>
        <w:numId w:val="19"/>
      </w:numPr>
      <w:spacing w:after="0" w:line="240" w:lineRule="atLeast"/>
    </w:pPr>
    <w:rPr>
      <w:rFonts w:ascii="Arial" w:eastAsia="Calibri" w:hAnsi="Arial" w:cs="Times New Roman"/>
      <w:sz w:val="20"/>
      <w:szCs w:val="24"/>
    </w:rPr>
  </w:style>
  <w:style w:type="numbering" w:customStyle="1" w:styleId="NumbLstBTBullet">
    <w:name w:val="NumbLstBTBullet"/>
    <w:uiPriority w:val="99"/>
    <w:pPr>
      <w:numPr>
        <w:numId w:val="18"/>
      </w:numPr>
    </w:p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rPr>
      <w:vertAlign w:val="superscript"/>
    </w:rPr>
  </w:style>
  <w:style w:type="paragraph" w:styleId="Caption">
    <w:name w:val="caption"/>
    <w:aliases w:val="Char Char Char,Char Char Char Char Char Char,Char Char Char Char,Char Char Char Char Char,Caption Char1,Char Char Char Char1,Char Char Char Char Char Char1,Char Char Char Char Char1 Char Char,topic,CaptionTLS,CaptionCFMU,figura,RptCaption"/>
    <w:basedOn w:val="Normal"/>
    <w:next w:val="Normal"/>
    <w:link w:val="CaptionChar"/>
    <w:uiPriority w:val="35"/>
    <w:unhideWhenUsed/>
    <w:qFormat/>
    <w:pPr>
      <w:keepNext/>
      <w:keepLines/>
      <w:widowControl w:val="0"/>
      <w:spacing w:before="240" w:after="120" w:line="360" w:lineRule="auto"/>
      <w:contextualSpacing/>
      <w:jc w:val="center"/>
    </w:pPr>
    <w:rPr>
      <w:rFonts w:eastAsia="Times New Roman" w:cstheme="minorHAnsi"/>
      <w:b/>
      <w:bCs/>
      <w:color w:val="002060"/>
      <w:sz w:val="18"/>
      <w:szCs w:val="18"/>
    </w:rPr>
  </w:style>
  <w:style w:type="table" w:customStyle="1" w:styleId="EuropeanCommissionstyle">
    <w:name w:val="European Commission style"/>
    <w:basedOn w:val="TableNormal"/>
    <w:uiPriority w:val="99"/>
    <w:pPr>
      <w:spacing w:after="0" w:line="240" w:lineRule="auto"/>
    </w:pPr>
    <w:rPr>
      <w:rFonts w:ascii="Verdana" w:eastAsia="Times New Roman" w:hAnsi="Verdana" w:cs="Times New Roman"/>
      <w:sz w:val="12"/>
      <w:szCs w:val="20"/>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hemeFill="background1" w:themeFillShade="F2"/>
    </w:tcPr>
    <w:tblStylePr w:type="firstRow">
      <w:rPr>
        <w:rFonts w:ascii="Marlett" w:hAnsi="Marlett"/>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character" w:customStyle="1" w:styleId="CaptionChar">
    <w:name w:val="Caption Char"/>
    <w:aliases w:val="Char Char Char Char2,Char Char Char Char Char Char Char,Char Char Char Char Char1,Char Char Char Char Char Char2,Caption Char1 Char,Char Char Char Char1 Char,Char Char Char Char Char Char1 Char,Char Char Char Char Char1 Char Char Char"/>
    <w:link w:val="Caption"/>
    <w:uiPriority w:val="35"/>
    <w:locked/>
    <w:rPr>
      <w:rFonts w:eastAsia="Times New Roman" w:cstheme="minorHAnsi"/>
      <w:b/>
      <w:bCs/>
      <w:color w:val="002060"/>
      <w:sz w:val="18"/>
      <w:szCs w:val="18"/>
      <w:lang w:eastAsia="pl-PL"/>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MAINPARAGRAPH">
    <w:name w:val="MAIN PARAGRAPH"/>
    <w:basedOn w:val="Normal"/>
    <w:link w:val="MAINPARAGRAPHChar"/>
    <w:qFormat/>
    <w:pPr>
      <w:spacing w:before="120" w:after="120" w:line="360" w:lineRule="auto"/>
      <w:jc w:val="both"/>
    </w:pPr>
    <w:rPr>
      <w:rFonts w:ascii="Arial" w:eastAsia="Times New Roman" w:hAnsi="Arial" w:cs="Times New Roman"/>
      <w:color w:val="000000" w:themeColor="text1"/>
      <w:sz w:val="19"/>
      <w:szCs w:val="19"/>
    </w:rPr>
  </w:style>
  <w:style w:type="character" w:customStyle="1" w:styleId="MAINPARAGRAPHChar">
    <w:name w:val="MAIN PARAGRAPH Char"/>
    <w:basedOn w:val="DefaultParagraphFont"/>
    <w:link w:val="MAINPARAGRAPH"/>
    <w:rPr>
      <w:rFonts w:ascii="Arial" w:eastAsia="Times New Roman" w:hAnsi="Arial" w:cs="Times New Roman"/>
      <w:color w:val="000000" w:themeColor="text1"/>
      <w:sz w:val="19"/>
      <w:szCs w:val="19"/>
      <w:lang w:eastAsia="pl-PL"/>
    </w:rPr>
  </w:style>
  <w:style w:type="character" w:styleId="Strong">
    <w:name w:val="Strong"/>
    <w:basedOn w:val="DefaultParagraphFont"/>
    <w:uiPriority w:val="22"/>
    <w:qFormat/>
    <w:rPr>
      <w:rFonts w:ascii="Times New Roman" w:hAnsi="Times New Roman" w:cs="Times New Roman" w:hint="default"/>
      <w:b/>
      <w:bCs/>
    </w:rPr>
  </w:style>
  <w:style w:type="table" w:styleId="LightShading-Accent5">
    <w:name w:val="Light Shading Accent 5"/>
    <w:basedOn w:val="TableNormal"/>
    <w:uiPriority w:val="6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orpsdutexte">
    <w:name w:val="Corps du texte_"/>
    <w:basedOn w:val="DefaultParagraphFont"/>
    <w:link w:val="Corpsdutexte0"/>
    <w:rPr>
      <w:shd w:val="clear" w:color="auto" w:fill="FFFFFF"/>
    </w:rPr>
  </w:style>
  <w:style w:type="paragraph" w:customStyle="1" w:styleId="Corpsdutexte0">
    <w:name w:val="Corps du texte"/>
    <w:basedOn w:val="Normal"/>
    <w:link w:val="Corpsdutexte"/>
    <w:pPr>
      <w:widowControl w:val="0"/>
      <w:shd w:val="clear" w:color="auto" w:fill="FFFFFF"/>
      <w:spacing w:after="0" w:line="0" w:lineRule="atLeast"/>
    </w:pPr>
  </w:style>
  <w:style w:type="table" w:customStyle="1" w:styleId="LightShading-Accent51">
    <w:name w:val="Light Shading - Accent 51"/>
    <w:basedOn w:val="TableNormal"/>
    <w:next w:val="LightShading-Accent5"/>
    <w:uiPriority w:val="6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4">
    <w:name w:val="Table Grid4"/>
    <w:basedOn w:val="TableNormal"/>
    <w:next w:val="TableGrid"/>
    <w:uiPriority w:val="5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_Sections Char,1st level - Bullet List Paragraph Char,Lettre d'introduction Char,Paragrafo elenco Char,List Paragraph1 Char,Medium Grid 1 - Accent 21 Char"/>
    <w:basedOn w:val="DefaultParagraphFont"/>
    <w:link w:val="ListParagraph"/>
    <w:uiPriority w:val="34"/>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qFormat/>
    <w:pPr>
      <w:numPr>
        <w:ilvl w:val="1"/>
      </w:numPr>
      <w:spacing w:before="120" w:after="160" w:line="240" w:lineRule="auto"/>
      <w:jc w:val="both"/>
    </w:pPr>
    <w:rPr>
      <w:rFonts w:eastAsiaTheme="minorEastAsia"/>
      <w:color w:val="5A5A5A" w:themeColor="text1" w:themeTint="A5"/>
      <w:spacing w:val="15"/>
    </w:rPr>
  </w:style>
  <w:style w:type="character" w:customStyle="1" w:styleId="SubtitleChar">
    <w:name w:val="Subtitle Char"/>
    <w:basedOn w:val="DefaultParagraphFont"/>
    <w:link w:val="Subtitle"/>
    <w:rPr>
      <w:rFonts w:eastAsiaTheme="minorEastAsia"/>
      <w:color w:val="5A5A5A" w:themeColor="text1" w:themeTint="A5"/>
      <w:spacing w:val="15"/>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IntenseEmphasis">
    <w:name w:val="Intense Emphasis"/>
    <w:basedOn w:val="DefaultParagraphFont"/>
    <w:uiPriority w:val="21"/>
    <w:qFormat/>
    <w:rPr>
      <w:i/>
      <w:iCs/>
      <w:color w:val="4F81BD" w:themeColor="accent1"/>
    </w:rPr>
  </w:style>
  <w:style w:type="paragraph" w:styleId="TableofFigures">
    <w:name w:val="table of figures"/>
    <w:basedOn w:val="Normal"/>
    <w:next w:val="Normal"/>
    <w:uiPriority w:val="99"/>
    <w:unhideWhenUsed/>
    <w:pPr>
      <w:spacing w:after="0"/>
    </w:pPr>
  </w:style>
  <w:style w:type="table" w:customStyle="1" w:styleId="EuropeanCommissionstyle1">
    <w:name w:val="European Commission style1"/>
    <w:basedOn w:val="TableNormal"/>
    <w:uiPriority w:val="99"/>
    <w:pPr>
      <w:spacing w:after="0" w:line="240" w:lineRule="auto"/>
    </w:pPr>
    <w:rPr>
      <w:rFonts w:ascii="Verdana" w:eastAsia="Times New Roman" w:hAnsi="Verdana" w:cs="Times New Roman"/>
      <w:sz w:val="12"/>
      <w:szCs w:val="20"/>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cPr>
    <w:tblStylePr w:type="firstRow">
      <w:rPr>
        <w:rFonts w:ascii="@Batang" w:hAnsi="@Batang"/>
        <w:b/>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7964">
      <w:bodyDiv w:val="1"/>
      <w:marLeft w:val="0"/>
      <w:marRight w:val="0"/>
      <w:marTop w:val="0"/>
      <w:marBottom w:val="0"/>
      <w:divBdr>
        <w:top w:val="none" w:sz="0" w:space="0" w:color="auto"/>
        <w:left w:val="none" w:sz="0" w:space="0" w:color="auto"/>
        <w:bottom w:val="none" w:sz="0" w:space="0" w:color="auto"/>
        <w:right w:val="none" w:sz="0" w:space="0" w:color="auto"/>
      </w:divBdr>
    </w:div>
    <w:div w:id="19303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bout/srss/index_en.htm" TargetMode="External"/><Relationship Id="rId2" Type="http://schemas.openxmlformats.org/officeDocument/2006/relationships/hyperlink" Target="http://ec.europa.eu/regional_policy/pl/information/legislation/guidance/" TargetMode="External"/><Relationship Id="rId1" Type="http://schemas.openxmlformats.org/officeDocument/2006/relationships/hyperlink" Target="http://eur-lex.europa.eu/legal-content/PL/TXT/PDF/?uri=CELEX:52010DC0245&amp;fr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8459-9275-410F-B47E-A829BA6B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2235</Words>
  <Characters>16680</Characters>
  <Application>Microsoft Office Word</Application>
  <DocSecurity>0</DocSecurity>
  <Lines>264</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2016-10-28T11:18:00Z</cp:lastPrinted>
  <dcterms:created xsi:type="dcterms:W3CDTF">2017-03-14T06:28:00Z</dcterms:created>
  <dcterms:modified xsi:type="dcterms:W3CDTF">2017-03-15T10:57:00Z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_NewReviewCycle">
    <vt:lpwstr/>
  </property>
</Properties>
</file>