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1728CC7A589941F89FF1E278A859C733" style="width:450.8pt;height:446.4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numPr>
          <w:ilvl w:val="0"/>
          <w:numId w:val="0"/>
        </w:numPr>
        <w:ind w:left="432" w:hanging="432"/>
        <w:rPr>
          <w:noProof/>
        </w:rPr>
      </w:pPr>
      <w:bookmarkStart w:id="1" w:name="_Toc463449749"/>
      <w:bookmarkStart w:id="2" w:name="_Toc463451501"/>
      <w:bookmarkStart w:id="3" w:name="_Toc463452155"/>
      <w:bookmarkStart w:id="4" w:name="_Toc463458193"/>
      <w:bookmarkStart w:id="5" w:name="_Toc464028091"/>
      <w:bookmarkStart w:id="6" w:name="_GoBack"/>
      <w:bookmarkEnd w:id="1"/>
      <w:bookmarkEnd w:id="2"/>
      <w:bookmarkEnd w:id="3"/>
      <w:bookmarkEnd w:id="4"/>
      <w:bookmarkEnd w:id="6"/>
      <w:r>
        <w:rPr>
          <w:noProof/>
        </w:rPr>
        <w:lastRenderedPageBreak/>
        <w:t>Plan działania</w:t>
      </w:r>
      <w:bookmarkEnd w:id="5"/>
      <w:r>
        <w:rPr>
          <w:noProof/>
        </w:rPr>
        <w:t xml:space="preserve"> na rzecz interoperacyjności</w:t>
      </w:r>
    </w:p>
    <w:p>
      <w:pPr>
        <w:pStyle w:val="FootnoteText"/>
        <w:spacing w:line="312" w:lineRule="auto"/>
        <w:jc w:val="both"/>
        <w:rPr>
          <w:noProof/>
          <w:sz w:val="24"/>
          <w:szCs w:val="24"/>
        </w:rPr>
      </w:pPr>
      <w:r>
        <w:rPr>
          <w:noProof/>
          <w:sz w:val="24"/>
        </w:rPr>
        <w:t>Plan działania na rzecz interoperacyjności odnosi się do przyczyn</w:t>
      </w:r>
      <w:r>
        <w:rPr>
          <w:rStyle w:val="FootnoteReference"/>
          <w:noProof/>
          <w:sz w:val="24"/>
        </w:rPr>
        <w:footnoteReference w:id="1"/>
      </w:r>
      <w:r>
        <w:rPr>
          <w:noProof/>
          <w:sz w:val="24"/>
        </w:rPr>
        <w:t xml:space="preserve"> istniejących problemów związanych z interoperacyjnością i ma charakter orientacyjny. Może zostać zaktualizowany, jeżeli zostaną określone i włączone do niego dalsze działania lub jeżeli inne działania zostaną wycofane. Komisja Europejska może w dowolnym momencie zaproponować zmiany, przedstawiając odpowiednie uzasadnienie, np. ustalenia wynikające z monitorowania działań związanych z interoperacyjnością. Komisja, w porozumieniu z komitetem ISA² lub w stosownych przypadkach z organami zarządzającymi inicjatyw wspierających plan działania na rzecz interoperacyjności, jest odpowiedzialna za podejmowanie decyzji w sprawie wszelkich aktualizacji tego wykazu.</w:t>
      </w:r>
    </w:p>
    <w:p>
      <w:pPr>
        <w:pStyle w:val="FootnoteText"/>
        <w:jc w:val="both"/>
        <w:rPr>
          <w:b/>
          <w:noProof/>
        </w:rPr>
      </w:pPr>
    </w:p>
    <w:tbl>
      <w:tblPr>
        <w:tblStyle w:val="EuropeanCommissionstyle1"/>
        <w:tblW w:w="9443" w:type="dxa"/>
        <w:jc w:val="center"/>
        <w:tblLook w:val="04A0" w:firstRow="1" w:lastRow="0" w:firstColumn="1" w:lastColumn="0" w:noHBand="0" w:noVBand="1"/>
      </w:tblPr>
      <w:tblGrid>
        <w:gridCol w:w="2596"/>
        <w:gridCol w:w="3929"/>
        <w:gridCol w:w="1150"/>
        <w:gridCol w:w="1768"/>
      </w:tblGrid>
      <w:tr>
        <w:trPr>
          <w:cnfStyle w:val="100000000000" w:firstRow="1" w:lastRow="0" w:firstColumn="0" w:lastColumn="0" w:oddVBand="0" w:evenVBand="0" w:oddHBand="0" w:evenHBand="0" w:firstRowFirstColumn="0" w:firstRowLastColumn="0" w:lastRowFirstColumn="0" w:lastRowLastColumn="0"/>
          <w:trHeight w:val="225"/>
          <w:tblHeader/>
          <w:jc w:val="center"/>
        </w:trPr>
        <w:tc>
          <w:tcPr>
            <w:tcW w:w="2596" w:type="dxa"/>
          </w:tcPr>
          <w:p>
            <w:pPr>
              <w:widowControl w:val="0"/>
              <w:spacing w:line="312" w:lineRule="auto"/>
              <w:jc w:val="center"/>
              <w:rPr>
                <w:rFonts w:ascii="Times New Roman" w:hAnsi="Times New Roman"/>
                <w:noProof/>
                <w:sz w:val="18"/>
                <w:szCs w:val="16"/>
              </w:rPr>
            </w:pPr>
            <w:r>
              <w:rPr>
                <w:rFonts w:ascii="Times New Roman" w:hAnsi="Times New Roman"/>
                <w:noProof/>
                <w:sz w:val="18"/>
              </w:rPr>
              <w:t>Cele</w:t>
            </w:r>
          </w:p>
        </w:tc>
        <w:tc>
          <w:tcPr>
            <w:tcW w:w="3929" w:type="dxa"/>
          </w:tcPr>
          <w:p>
            <w:pPr>
              <w:widowControl w:val="0"/>
              <w:spacing w:line="312" w:lineRule="auto"/>
              <w:jc w:val="center"/>
              <w:rPr>
                <w:rFonts w:ascii="Times New Roman" w:hAnsi="Times New Roman"/>
                <w:noProof/>
                <w:sz w:val="18"/>
                <w:szCs w:val="16"/>
              </w:rPr>
            </w:pPr>
            <w:r>
              <w:rPr>
                <w:rFonts w:ascii="Times New Roman" w:hAnsi="Times New Roman"/>
                <w:noProof/>
                <w:sz w:val="18"/>
              </w:rPr>
              <w:t>Działania</w:t>
            </w:r>
          </w:p>
        </w:tc>
        <w:tc>
          <w:tcPr>
            <w:tcW w:w="1150" w:type="dxa"/>
          </w:tcPr>
          <w:p>
            <w:pPr>
              <w:widowControl w:val="0"/>
              <w:spacing w:line="312" w:lineRule="auto"/>
              <w:jc w:val="center"/>
              <w:rPr>
                <w:rFonts w:ascii="Times New Roman" w:hAnsi="Times New Roman"/>
                <w:noProof/>
                <w:sz w:val="18"/>
                <w:szCs w:val="16"/>
              </w:rPr>
            </w:pPr>
            <w:r>
              <w:rPr>
                <w:rFonts w:ascii="Times New Roman" w:hAnsi="Times New Roman"/>
                <w:noProof/>
                <w:sz w:val="18"/>
              </w:rPr>
              <w:t>Ramy czasowe</w:t>
            </w:r>
          </w:p>
        </w:tc>
        <w:tc>
          <w:tcPr>
            <w:tcW w:w="1768" w:type="dxa"/>
          </w:tcPr>
          <w:p>
            <w:pPr>
              <w:widowControl w:val="0"/>
              <w:spacing w:line="312" w:lineRule="auto"/>
              <w:jc w:val="center"/>
              <w:rPr>
                <w:rFonts w:ascii="Times New Roman" w:hAnsi="Times New Roman"/>
                <w:noProof/>
                <w:sz w:val="18"/>
                <w:szCs w:val="16"/>
              </w:rPr>
            </w:pPr>
            <w:r>
              <w:rPr>
                <w:rFonts w:ascii="Times New Roman" w:hAnsi="Times New Roman"/>
                <w:noProof/>
                <w:sz w:val="18"/>
              </w:rPr>
              <w:t>Obowiązki</w:t>
            </w:r>
          </w:p>
        </w:tc>
      </w:tr>
      <w:tr>
        <w:trPr>
          <w:jc w:val="center"/>
        </w:trPr>
        <w:tc>
          <w:tcPr>
            <w:tcW w:w="9443" w:type="dxa"/>
            <w:gridSpan w:val="4"/>
            <w:shd w:val="clear" w:color="auto" w:fill="A6A6A6" w:themeFill="background1" w:themeFillShade="A6"/>
          </w:tcPr>
          <w:p>
            <w:pPr>
              <w:spacing w:line="312" w:lineRule="auto"/>
              <w:rPr>
                <w:rFonts w:ascii="Times New Roman" w:hAnsi="Times New Roman"/>
                <w:b/>
                <w:noProof/>
                <w:color w:val="FFFFFF"/>
                <w:sz w:val="18"/>
                <w:szCs w:val="16"/>
              </w:rPr>
            </w:pPr>
            <w:r>
              <w:rPr>
                <w:rFonts w:ascii="Times New Roman" w:hAnsi="Times New Roman"/>
                <w:b/>
                <w:noProof/>
                <w:color w:val="FFFFFF"/>
                <w:sz w:val="18"/>
              </w:rPr>
              <w:t>Obszar tematyczny 1: Zapewnienie zarządzania inicjatywami w zakresie interoperacyjności, dzielenia się nimi oraz koordynacji tych inicjatyw</w:t>
            </w:r>
          </w:p>
        </w:tc>
      </w:tr>
      <w:tr>
        <w:trPr>
          <w:trHeight w:val="904"/>
          <w:jc w:val="center"/>
        </w:trPr>
        <w:tc>
          <w:tcPr>
            <w:tcW w:w="2596" w:type="dxa"/>
            <w:vMerge w:val="restart"/>
          </w:tcPr>
          <w:p>
            <w:pPr>
              <w:spacing w:line="312" w:lineRule="auto"/>
              <w:rPr>
                <w:rFonts w:ascii="Times New Roman" w:hAnsi="Times New Roman"/>
                <w:noProof/>
                <w:color w:val="000000"/>
                <w:sz w:val="18"/>
                <w:szCs w:val="16"/>
              </w:rPr>
            </w:pPr>
            <w:r>
              <w:rPr>
                <w:rFonts w:ascii="Times New Roman" w:hAnsi="Times New Roman"/>
                <w:noProof/>
                <w:color w:val="000000"/>
                <w:sz w:val="18"/>
              </w:rPr>
              <w:t>Zarządzanie inicjatywami w zakresie interoperacyjności na poziomie unijnym i krajowym oraz ich koordynowanie.</w:t>
            </w:r>
          </w:p>
        </w:tc>
        <w:tc>
          <w:tcPr>
            <w:tcW w:w="3929" w:type="dxa"/>
          </w:tcPr>
          <w:p>
            <w:pPr>
              <w:numPr>
                <w:ilvl w:val="0"/>
                <w:numId w:val="20"/>
              </w:numPr>
              <w:spacing w:before="120" w:after="120" w:line="312" w:lineRule="auto"/>
              <w:ind w:left="318"/>
              <w:contextualSpacing/>
              <w:rPr>
                <w:rFonts w:ascii="Times New Roman" w:eastAsia="Arial" w:hAnsi="Times New Roman"/>
                <w:noProof/>
                <w:sz w:val="18"/>
                <w:szCs w:val="16"/>
              </w:rPr>
            </w:pPr>
            <w:r>
              <w:rPr>
                <w:rFonts w:ascii="Times New Roman" w:hAnsi="Times New Roman"/>
                <w:noProof/>
                <w:sz w:val="18"/>
              </w:rPr>
              <w:t>Wskazanie innych właściwych obszarów polityki i ich struktur zarządzania na poziomie unijnym i krajowym (w tym komitetów sektorowych) oraz nawiązanie współpracy z tymi strukturami.</w:t>
            </w:r>
          </w:p>
        </w:tc>
        <w:tc>
          <w:tcPr>
            <w:tcW w:w="1150" w:type="dxa"/>
          </w:tcPr>
          <w:p>
            <w:pPr>
              <w:spacing w:line="312" w:lineRule="auto"/>
              <w:rPr>
                <w:rFonts w:ascii="Times New Roman" w:hAnsi="Times New Roman"/>
                <w:noProof/>
                <w:color w:val="000000"/>
                <w:sz w:val="18"/>
                <w:szCs w:val="16"/>
              </w:rPr>
            </w:pPr>
            <w:r>
              <w:rPr>
                <w:rFonts w:ascii="Times New Roman" w:hAnsi="Times New Roman"/>
                <w:noProof/>
                <w:color w:val="000000"/>
                <w:sz w:val="18"/>
              </w:rPr>
              <w:t>2017–2020</w:t>
            </w:r>
          </w:p>
        </w:tc>
        <w:tc>
          <w:tcPr>
            <w:tcW w:w="1768" w:type="dxa"/>
          </w:tcPr>
          <w:p>
            <w:pPr>
              <w:spacing w:line="312" w:lineRule="auto"/>
              <w:rPr>
                <w:rFonts w:ascii="Times New Roman" w:hAnsi="Times New Roman"/>
                <w:noProof/>
                <w:color w:val="000000"/>
                <w:sz w:val="18"/>
                <w:szCs w:val="16"/>
              </w:rPr>
            </w:pPr>
            <w:r>
              <w:rPr>
                <w:rFonts w:ascii="Times New Roman" w:hAnsi="Times New Roman"/>
                <w:noProof/>
                <w:color w:val="000000"/>
                <w:sz w:val="18"/>
              </w:rPr>
              <w:t>Komisja Europejska (KE),</w:t>
            </w:r>
          </w:p>
          <w:p>
            <w:pPr>
              <w:spacing w:line="312" w:lineRule="auto"/>
              <w:rPr>
                <w:rFonts w:ascii="Times New Roman" w:hAnsi="Times New Roman"/>
                <w:noProof/>
                <w:color w:val="000000"/>
                <w:sz w:val="18"/>
                <w:szCs w:val="16"/>
              </w:rPr>
            </w:pPr>
            <w:r>
              <w:rPr>
                <w:rFonts w:ascii="Times New Roman" w:hAnsi="Times New Roman"/>
                <w:noProof/>
                <w:color w:val="000000"/>
                <w:sz w:val="18"/>
              </w:rPr>
              <w:t>państwa członkowskie (PC)</w:t>
            </w:r>
          </w:p>
        </w:tc>
      </w:tr>
      <w:tr>
        <w:trPr>
          <w:jc w:val="center"/>
        </w:trPr>
        <w:tc>
          <w:tcPr>
            <w:tcW w:w="2596" w:type="dxa"/>
            <w:vMerge/>
          </w:tcPr>
          <w:p>
            <w:pPr>
              <w:spacing w:line="312" w:lineRule="auto"/>
              <w:rPr>
                <w:rFonts w:ascii="Times New Roman" w:hAnsi="Times New Roman"/>
                <w:noProof/>
                <w:color w:val="000000"/>
                <w:sz w:val="18"/>
                <w:szCs w:val="16"/>
              </w:rPr>
            </w:pPr>
          </w:p>
        </w:tc>
        <w:tc>
          <w:tcPr>
            <w:tcW w:w="3929" w:type="dxa"/>
          </w:tcPr>
          <w:p>
            <w:pPr>
              <w:numPr>
                <w:ilvl w:val="0"/>
                <w:numId w:val="20"/>
              </w:numPr>
              <w:spacing w:before="120" w:after="120" w:line="312" w:lineRule="auto"/>
              <w:ind w:left="318"/>
              <w:contextualSpacing/>
              <w:rPr>
                <w:rFonts w:ascii="Times New Roman" w:eastAsia="Arial" w:hAnsi="Times New Roman"/>
                <w:noProof/>
                <w:sz w:val="18"/>
                <w:szCs w:val="16"/>
              </w:rPr>
            </w:pPr>
            <w:r>
              <w:rPr>
                <w:rFonts w:ascii="Times New Roman" w:hAnsi="Times New Roman"/>
                <w:noProof/>
                <w:sz w:val="18"/>
              </w:rPr>
              <w:t>Określenie i opisanie struktur zarządzania i dobrych praktyk w zakresie koordynacji interoperacyjności.</w:t>
            </w:r>
          </w:p>
        </w:tc>
        <w:tc>
          <w:tcPr>
            <w:tcW w:w="1150" w:type="dxa"/>
          </w:tcPr>
          <w:p>
            <w:pPr>
              <w:spacing w:line="312" w:lineRule="auto"/>
              <w:rPr>
                <w:rFonts w:ascii="Times New Roman" w:eastAsia="Arial" w:hAnsi="Times New Roman"/>
                <w:noProof/>
                <w:sz w:val="18"/>
                <w:szCs w:val="16"/>
              </w:rPr>
            </w:pPr>
            <w:r>
              <w:rPr>
                <w:rFonts w:ascii="Times New Roman" w:hAnsi="Times New Roman"/>
                <w:noProof/>
                <w:sz w:val="18"/>
              </w:rPr>
              <w:t>2017–2020</w:t>
            </w:r>
          </w:p>
        </w:tc>
        <w:tc>
          <w:tcPr>
            <w:tcW w:w="1768" w:type="dxa"/>
          </w:tcPr>
          <w:p>
            <w:pPr>
              <w:spacing w:line="312" w:lineRule="auto"/>
              <w:rPr>
                <w:rFonts w:ascii="Times New Roman" w:eastAsia="Arial" w:hAnsi="Times New Roman"/>
                <w:noProof/>
                <w:sz w:val="18"/>
                <w:szCs w:val="16"/>
              </w:rPr>
            </w:pPr>
            <w:r>
              <w:rPr>
                <w:rFonts w:ascii="Times New Roman" w:hAnsi="Times New Roman"/>
                <w:noProof/>
                <w:sz w:val="18"/>
              </w:rPr>
              <w:t>KE, PC</w:t>
            </w:r>
          </w:p>
        </w:tc>
      </w:tr>
      <w:tr>
        <w:trPr>
          <w:jc w:val="center"/>
        </w:trPr>
        <w:tc>
          <w:tcPr>
            <w:tcW w:w="2596" w:type="dxa"/>
            <w:vMerge/>
          </w:tcPr>
          <w:p>
            <w:pPr>
              <w:spacing w:line="312" w:lineRule="auto"/>
              <w:rPr>
                <w:rFonts w:ascii="Times New Roman" w:hAnsi="Times New Roman"/>
                <w:noProof/>
                <w:color w:val="000000"/>
                <w:sz w:val="18"/>
                <w:szCs w:val="16"/>
              </w:rPr>
            </w:pPr>
          </w:p>
        </w:tc>
        <w:tc>
          <w:tcPr>
            <w:tcW w:w="3929" w:type="dxa"/>
          </w:tcPr>
          <w:p>
            <w:pPr>
              <w:numPr>
                <w:ilvl w:val="0"/>
                <w:numId w:val="20"/>
              </w:numPr>
              <w:spacing w:before="120" w:after="120" w:line="312" w:lineRule="auto"/>
              <w:ind w:left="318"/>
              <w:contextualSpacing/>
              <w:rPr>
                <w:rFonts w:ascii="Times New Roman" w:eastAsia="Arial" w:hAnsi="Times New Roman"/>
                <w:noProof/>
                <w:sz w:val="18"/>
                <w:szCs w:val="16"/>
              </w:rPr>
            </w:pPr>
            <w:r>
              <w:rPr>
                <w:rFonts w:ascii="Times New Roman" w:hAnsi="Times New Roman"/>
                <w:noProof/>
                <w:sz w:val="18"/>
              </w:rPr>
              <w:t>Zapewnienie, aby interoperacyjność była brana pod uwagę przy opracowywaniu projektów instrumentów ustawodawczych oraz aby w stosownych przypadkach instrumenty te zawierały stosowne odniesienia.</w:t>
            </w:r>
          </w:p>
        </w:tc>
        <w:tc>
          <w:tcPr>
            <w:tcW w:w="1150" w:type="dxa"/>
          </w:tcPr>
          <w:p>
            <w:pPr>
              <w:spacing w:line="312" w:lineRule="auto"/>
              <w:rPr>
                <w:rFonts w:ascii="Times New Roman" w:eastAsia="Arial" w:hAnsi="Times New Roman"/>
                <w:noProof/>
                <w:sz w:val="18"/>
                <w:szCs w:val="16"/>
              </w:rPr>
            </w:pPr>
            <w:r>
              <w:rPr>
                <w:rFonts w:ascii="Times New Roman" w:hAnsi="Times New Roman"/>
                <w:noProof/>
                <w:sz w:val="18"/>
              </w:rPr>
              <w:t>2017–2020</w:t>
            </w:r>
          </w:p>
        </w:tc>
        <w:tc>
          <w:tcPr>
            <w:tcW w:w="1768" w:type="dxa"/>
          </w:tcPr>
          <w:p>
            <w:pPr>
              <w:spacing w:line="312" w:lineRule="auto"/>
              <w:rPr>
                <w:rFonts w:ascii="Times New Roman" w:eastAsia="Arial" w:hAnsi="Times New Roman"/>
                <w:noProof/>
                <w:sz w:val="18"/>
                <w:szCs w:val="16"/>
              </w:rPr>
            </w:pPr>
            <w:r>
              <w:rPr>
                <w:rFonts w:ascii="Times New Roman" w:hAnsi="Times New Roman"/>
                <w:noProof/>
                <w:sz w:val="18"/>
              </w:rPr>
              <w:t>KE, PC</w:t>
            </w:r>
          </w:p>
        </w:tc>
      </w:tr>
      <w:tr>
        <w:trPr>
          <w:jc w:val="center"/>
        </w:trPr>
        <w:tc>
          <w:tcPr>
            <w:tcW w:w="2596" w:type="dxa"/>
            <w:vMerge w:val="restart"/>
          </w:tcPr>
          <w:p>
            <w:pPr>
              <w:spacing w:line="312" w:lineRule="auto"/>
              <w:rPr>
                <w:rFonts w:ascii="Times New Roman" w:hAnsi="Times New Roman"/>
                <w:noProof/>
                <w:color w:val="000000"/>
                <w:sz w:val="18"/>
                <w:szCs w:val="16"/>
              </w:rPr>
            </w:pPr>
            <w:r>
              <w:rPr>
                <w:rFonts w:ascii="Times New Roman" w:hAnsi="Times New Roman"/>
                <w:noProof/>
                <w:color w:val="000000"/>
                <w:sz w:val="18"/>
              </w:rPr>
              <w:t>Zapewnienie wykonania i monitorowania wdrażania europejskich ram interoperacyjności.</w:t>
            </w:r>
          </w:p>
        </w:tc>
        <w:tc>
          <w:tcPr>
            <w:tcW w:w="3929" w:type="dxa"/>
          </w:tcPr>
          <w:p>
            <w:pPr>
              <w:numPr>
                <w:ilvl w:val="0"/>
                <w:numId w:val="20"/>
              </w:numPr>
              <w:spacing w:before="120" w:after="120" w:line="312" w:lineRule="auto"/>
              <w:ind w:left="318"/>
              <w:contextualSpacing/>
              <w:rPr>
                <w:rFonts w:ascii="Times New Roman" w:eastAsia="Arial" w:hAnsi="Times New Roman"/>
                <w:noProof/>
                <w:sz w:val="18"/>
                <w:szCs w:val="16"/>
              </w:rPr>
            </w:pPr>
            <w:r>
              <w:rPr>
                <w:rFonts w:ascii="Times New Roman" w:hAnsi="Times New Roman"/>
                <w:noProof/>
                <w:sz w:val="18"/>
              </w:rPr>
              <w:t>Poszerzenie i utrzymanie Obserwatorium Krajowych Ram Interoperacyjności w celu monitorowania wdrażania europejskich ram interoperacyjności oraz zgodności krajowych strategii / ram interoperacyjności z europejskimi ramami interoperacyjności.</w:t>
            </w:r>
          </w:p>
          <w:p>
            <w:pPr>
              <w:spacing w:before="120" w:after="120" w:line="312" w:lineRule="auto"/>
              <w:ind w:left="318"/>
              <w:contextualSpacing/>
              <w:rPr>
                <w:rFonts w:ascii="Times New Roman" w:eastAsia="Arial" w:hAnsi="Times New Roman"/>
                <w:noProof/>
                <w:sz w:val="18"/>
                <w:szCs w:val="16"/>
              </w:rPr>
            </w:pPr>
            <w:r>
              <w:rPr>
                <w:rFonts w:ascii="Times New Roman" w:hAnsi="Times New Roman"/>
                <w:noProof/>
                <w:sz w:val="18"/>
              </w:rPr>
              <w:t>Ponadto monitorowanie i ocena realizacji planu działania na rzecz interoperacyjności.</w:t>
            </w:r>
          </w:p>
        </w:tc>
        <w:tc>
          <w:tcPr>
            <w:tcW w:w="1150" w:type="dxa"/>
          </w:tcPr>
          <w:p>
            <w:pPr>
              <w:spacing w:line="312" w:lineRule="auto"/>
              <w:rPr>
                <w:rFonts w:ascii="Times New Roman" w:hAnsi="Times New Roman"/>
                <w:noProof/>
                <w:color w:val="000000"/>
                <w:sz w:val="18"/>
                <w:szCs w:val="16"/>
              </w:rPr>
            </w:pPr>
            <w:r>
              <w:rPr>
                <w:rFonts w:ascii="Times New Roman" w:hAnsi="Times New Roman"/>
                <w:noProof/>
                <w:color w:val="000000"/>
                <w:sz w:val="18"/>
              </w:rPr>
              <w:t>2017–2020</w:t>
            </w:r>
          </w:p>
        </w:tc>
        <w:tc>
          <w:tcPr>
            <w:tcW w:w="1768" w:type="dxa"/>
          </w:tcPr>
          <w:p>
            <w:pPr>
              <w:spacing w:line="312" w:lineRule="auto"/>
              <w:rPr>
                <w:rFonts w:ascii="Times New Roman" w:hAnsi="Times New Roman"/>
                <w:noProof/>
                <w:color w:val="000000"/>
                <w:sz w:val="18"/>
                <w:szCs w:val="16"/>
              </w:rPr>
            </w:pPr>
            <w:r>
              <w:rPr>
                <w:rFonts w:ascii="Times New Roman" w:hAnsi="Times New Roman"/>
                <w:noProof/>
                <w:color w:val="000000"/>
                <w:sz w:val="18"/>
              </w:rPr>
              <w:t>KE, PC</w:t>
            </w:r>
          </w:p>
        </w:tc>
      </w:tr>
      <w:tr>
        <w:trPr>
          <w:jc w:val="center"/>
        </w:trPr>
        <w:tc>
          <w:tcPr>
            <w:tcW w:w="2596" w:type="dxa"/>
            <w:vMerge/>
          </w:tcPr>
          <w:p>
            <w:pPr>
              <w:spacing w:line="312" w:lineRule="auto"/>
              <w:rPr>
                <w:rFonts w:ascii="Times New Roman" w:hAnsi="Times New Roman"/>
                <w:noProof/>
                <w:color w:val="000000"/>
                <w:sz w:val="18"/>
                <w:szCs w:val="16"/>
              </w:rPr>
            </w:pPr>
          </w:p>
        </w:tc>
        <w:tc>
          <w:tcPr>
            <w:tcW w:w="3929" w:type="dxa"/>
          </w:tcPr>
          <w:p>
            <w:pPr>
              <w:numPr>
                <w:ilvl w:val="0"/>
                <w:numId w:val="20"/>
              </w:numPr>
              <w:spacing w:before="120" w:after="120" w:line="312" w:lineRule="auto"/>
              <w:ind w:left="318"/>
              <w:contextualSpacing/>
              <w:rPr>
                <w:rFonts w:ascii="Times New Roman" w:eastAsia="Arial" w:hAnsi="Times New Roman"/>
                <w:noProof/>
                <w:sz w:val="18"/>
                <w:szCs w:val="16"/>
              </w:rPr>
            </w:pPr>
            <w:r>
              <w:rPr>
                <w:rFonts w:ascii="Times New Roman" w:hAnsi="Times New Roman"/>
                <w:noProof/>
                <w:sz w:val="18"/>
              </w:rPr>
              <w:t xml:space="preserve">Zapewnienie wsparcia i szkolenia </w:t>
            </w:r>
            <w:r>
              <w:rPr>
                <w:rFonts w:ascii="Times New Roman" w:hAnsi="Times New Roman"/>
                <w:i/>
                <w:noProof/>
                <w:sz w:val="18"/>
              </w:rPr>
              <w:t>ad hoc</w:t>
            </w:r>
            <w:r>
              <w:rPr>
                <w:rFonts w:ascii="Times New Roman" w:hAnsi="Times New Roman"/>
                <w:noProof/>
                <w:sz w:val="18"/>
              </w:rPr>
              <w:t xml:space="preserve"> dla administracji publicznych państw członkowskich, aby zagwarantować wdrażanie europejskich ram interoperacyjności na wszystkich poziomach ich administracji krajowej.</w:t>
            </w:r>
          </w:p>
        </w:tc>
        <w:tc>
          <w:tcPr>
            <w:tcW w:w="1150" w:type="dxa"/>
          </w:tcPr>
          <w:p>
            <w:pPr>
              <w:spacing w:line="312" w:lineRule="auto"/>
              <w:rPr>
                <w:rFonts w:ascii="Times New Roman" w:hAnsi="Times New Roman"/>
                <w:noProof/>
                <w:color w:val="000000"/>
                <w:sz w:val="18"/>
                <w:szCs w:val="16"/>
              </w:rPr>
            </w:pPr>
            <w:r>
              <w:rPr>
                <w:rFonts w:ascii="Times New Roman" w:hAnsi="Times New Roman"/>
                <w:noProof/>
                <w:color w:val="000000"/>
                <w:sz w:val="18"/>
              </w:rPr>
              <w:t>2017–2020</w:t>
            </w:r>
          </w:p>
        </w:tc>
        <w:tc>
          <w:tcPr>
            <w:tcW w:w="1768" w:type="dxa"/>
          </w:tcPr>
          <w:p>
            <w:pPr>
              <w:spacing w:line="312" w:lineRule="auto"/>
              <w:rPr>
                <w:rFonts w:ascii="Times New Roman" w:hAnsi="Times New Roman"/>
                <w:noProof/>
                <w:color w:val="000000"/>
                <w:sz w:val="18"/>
                <w:szCs w:val="16"/>
              </w:rPr>
            </w:pPr>
            <w:r>
              <w:rPr>
                <w:rFonts w:ascii="Times New Roman" w:hAnsi="Times New Roman"/>
                <w:noProof/>
                <w:color w:val="000000"/>
                <w:sz w:val="18"/>
              </w:rPr>
              <w:t>KE, PC</w:t>
            </w:r>
          </w:p>
        </w:tc>
      </w:tr>
    </w:tbl>
    <w:p>
      <w:pPr>
        <w:rPr>
          <w:noProof/>
        </w:rPr>
      </w:pPr>
      <w:r>
        <w:rPr>
          <w:noProof/>
        </w:rPr>
        <w:br w:type="page"/>
      </w:r>
    </w:p>
    <w:tbl>
      <w:tblPr>
        <w:tblStyle w:val="EuropeanCommissionstyle1"/>
        <w:tblW w:w="9443" w:type="dxa"/>
        <w:jc w:val="center"/>
        <w:tblLook w:val="04A0" w:firstRow="1" w:lastRow="0" w:firstColumn="1" w:lastColumn="0" w:noHBand="0" w:noVBand="1"/>
      </w:tblPr>
      <w:tblGrid>
        <w:gridCol w:w="2596"/>
        <w:gridCol w:w="3929"/>
        <w:gridCol w:w="1150"/>
        <w:gridCol w:w="1768"/>
      </w:tblGrid>
      <w:tr>
        <w:trPr>
          <w:cnfStyle w:val="100000000000" w:firstRow="1" w:lastRow="0" w:firstColumn="0" w:lastColumn="0" w:oddVBand="0" w:evenVBand="0" w:oddHBand="0" w:evenHBand="0" w:firstRowFirstColumn="0" w:firstRowLastColumn="0" w:lastRowFirstColumn="0" w:lastRowLastColumn="0"/>
          <w:jc w:val="center"/>
        </w:trPr>
        <w:tc>
          <w:tcPr>
            <w:tcW w:w="9443" w:type="dxa"/>
            <w:gridSpan w:val="4"/>
            <w:shd w:val="clear" w:color="auto" w:fill="A6A6A6" w:themeFill="background1" w:themeFillShade="A6"/>
          </w:tcPr>
          <w:p>
            <w:pPr>
              <w:spacing w:line="312" w:lineRule="auto"/>
              <w:rPr>
                <w:rFonts w:ascii="Times New Roman" w:hAnsi="Times New Roman"/>
                <w:b w:val="0"/>
                <w:noProof/>
                <w:sz w:val="18"/>
                <w:szCs w:val="16"/>
              </w:rPr>
            </w:pPr>
            <w:r>
              <w:rPr>
                <w:rFonts w:ascii="Times New Roman" w:hAnsi="Times New Roman"/>
                <w:noProof/>
                <w:sz w:val="18"/>
              </w:rPr>
              <w:lastRenderedPageBreak/>
              <w:t>Obszar tematyczny 2: Opracowywanie rozwiązań w zakresie interoperacyjności organizacyjnej</w:t>
            </w:r>
          </w:p>
        </w:tc>
      </w:tr>
      <w:tr>
        <w:trPr>
          <w:jc w:val="center"/>
        </w:trPr>
        <w:tc>
          <w:tcPr>
            <w:tcW w:w="2596" w:type="dxa"/>
            <w:vMerge w:val="restart"/>
          </w:tcPr>
          <w:p>
            <w:pPr>
              <w:spacing w:line="312" w:lineRule="auto"/>
              <w:rPr>
                <w:rFonts w:ascii="Times New Roman" w:hAnsi="Times New Roman"/>
                <w:noProof/>
                <w:color w:val="000000"/>
                <w:sz w:val="18"/>
                <w:szCs w:val="16"/>
              </w:rPr>
            </w:pPr>
            <w:r>
              <w:rPr>
                <w:rFonts w:ascii="Times New Roman" w:hAnsi="Times New Roman"/>
                <w:noProof/>
                <w:color w:val="000000"/>
                <w:sz w:val="18"/>
              </w:rPr>
              <w:t>Zapewnienie i stosowanie odpowiednich czynników umożliwiających interoperacyjność (np. umów w sprawie interoperacyjności) oraz artefaktów (np. modeli procedur działania).</w:t>
            </w:r>
          </w:p>
        </w:tc>
        <w:tc>
          <w:tcPr>
            <w:tcW w:w="3929" w:type="dxa"/>
          </w:tcPr>
          <w:p>
            <w:pPr>
              <w:numPr>
                <w:ilvl w:val="0"/>
                <w:numId w:val="20"/>
              </w:numPr>
              <w:spacing w:before="120" w:after="120" w:line="312" w:lineRule="auto"/>
              <w:ind w:left="318"/>
              <w:contextualSpacing/>
              <w:rPr>
                <w:rFonts w:ascii="Times New Roman" w:eastAsia="Arial" w:hAnsi="Times New Roman"/>
                <w:noProof/>
                <w:sz w:val="18"/>
                <w:szCs w:val="16"/>
              </w:rPr>
            </w:pPr>
            <w:r>
              <w:rPr>
                <w:rFonts w:ascii="Times New Roman" w:hAnsi="Times New Roman"/>
                <w:noProof/>
                <w:sz w:val="18"/>
              </w:rPr>
              <w:t>Wyjaśnienie i zaproponowanie sposobów sformalizowania relacji organizacyjnych administracji publicznych w ramach ustanawiania europejskich usług publicznych. Zidentyfikowanie i opracowanie wspólnych modeli procesów w celu opisania procedur działania. Zidentyfikowanie najlepszych praktyk.</w:t>
            </w:r>
          </w:p>
        </w:tc>
        <w:tc>
          <w:tcPr>
            <w:tcW w:w="1150" w:type="dxa"/>
          </w:tcPr>
          <w:p>
            <w:pPr>
              <w:spacing w:line="312" w:lineRule="auto"/>
              <w:rPr>
                <w:rFonts w:ascii="Times New Roman" w:hAnsi="Times New Roman"/>
                <w:noProof/>
                <w:color w:val="000000"/>
                <w:sz w:val="18"/>
                <w:szCs w:val="16"/>
              </w:rPr>
            </w:pPr>
            <w:r>
              <w:rPr>
                <w:rFonts w:ascii="Times New Roman" w:hAnsi="Times New Roman"/>
                <w:noProof/>
                <w:color w:val="000000"/>
                <w:sz w:val="18"/>
              </w:rPr>
              <w:t>2017–2020</w:t>
            </w:r>
          </w:p>
        </w:tc>
        <w:tc>
          <w:tcPr>
            <w:tcW w:w="1768" w:type="dxa"/>
          </w:tcPr>
          <w:p>
            <w:pPr>
              <w:spacing w:line="312" w:lineRule="auto"/>
              <w:rPr>
                <w:rFonts w:ascii="Times New Roman" w:hAnsi="Times New Roman"/>
                <w:noProof/>
                <w:color w:val="000000"/>
                <w:sz w:val="18"/>
                <w:szCs w:val="16"/>
              </w:rPr>
            </w:pPr>
            <w:r>
              <w:rPr>
                <w:rFonts w:ascii="Times New Roman" w:hAnsi="Times New Roman"/>
                <w:noProof/>
                <w:color w:val="000000"/>
                <w:sz w:val="18"/>
              </w:rPr>
              <w:t>KE, PC</w:t>
            </w:r>
          </w:p>
        </w:tc>
      </w:tr>
      <w:tr>
        <w:trPr>
          <w:jc w:val="center"/>
        </w:trPr>
        <w:tc>
          <w:tcPr>
            <w:tcW w:w="2596" w:type="dxa"/>
            <w:vMerge/>
          </w:tcPr>
          <w:p>
            <w:pPr>
              <w:spacing w:line="312" w:lineRule="auto"/>
              <w:rPr>
                <w:rFonts w:ascii="Times New Roman" w:hAnsi="Times New Roman"/>
                <w:noProof/>
                <w:color w:val="000000"/>
                <w:sz w:val="18"/>
                <w:szCs w:val="16"/>
              </w:rPr>
            </w:pPr>
          </w:p>
        </w:tc>
        <w:tc>
          <w:tcPr>
            <w:tcW w:w="3929" w:type="dxa"/>
          </w:tcPr>
          <w:p>
            <w:pPr>
              <w:numPr>
                <w:ilvl w:val="0"/>
                <w:numId w:val="20"/>
              </w:numPr>
              <w:spacing w:before="120" w:after="120" w:line="312" w:lineRule="auto"/>
              <w:ind w:left="318"/>
              <w:contextualSpacing/>
              <w:rPr>
                <w:rFonts w:ascii="Times New Roman" w:eastAsia="Arial" w:hAnsi="Times New Roman"/>
                <w:noProof/>
                <w:sz w:val="18"/>
                <w:szCs w:val="16"/>
              </w:rPr>
            </w:pPr>
            <w:r>
              <w:rPr>
                <w:rFonts w:ascii="Times New Roman" w:hAnsi="Times New Roman"/>
                <w:noProof/>
                <w:sz w:val="18"/>
              </w:rPr>
              <w:t>Określenie kluczowych transgranicznych procedur działania obejmujących wymianę informacji administracyjnych (w tym dokumentów) oraz określenie sposobu ich przeprowadzania w poszczególnych państwach członkowskich, a także opracowanie wytycznych dotyczących lepszego dostosowania i uproszczenia tych procedur.</w:t>
            </w:r>
          </w:p>
        </w:tc>
        <w:tc>
          <w:tcPr>
            <w:tcW w:w="1150" w:type="dxa"/>
          </w:tcPr>
          <w:p>
            <w:pPr>
              <w:spacing w:line="312" w:lineRule="auto"/>
              <w:rPr>
                <w:rFonts w:ascii="Times New Roman" w:eastAsia="Arial" w:hAnsi="Times New Roman"/>
                <w:noProof/>
                <w:sz w:val="18"/>
                <w:szCs w:val="16"/>
              </w:rPr>
            </w:pPr>
            <w:r>
              <w:rPr>
                <w:rFonts w:ascii="Times New Roman" w:hAnsi="Times New Roman"/>
                <w:noProof/>
                <w:sz w:val="18"/>
              </w:rPr>
              <w:t>2017–2020</w:t>
            </w:r>
          </w:p>
        </w:tc>
        <w:tc>
          <w:tcPr>
            <w:tcW w:w="1768" w:type="dxa"/>
          </w:tcPr>
          <w:p>
            <w:pPr>
              <w:spacing w:line="312" w:lineRule="auto"/>
              <w:rPr>
                <w:rFonts w:ascii="Times New Roman" w:eastAsia="Arial" w:hAnsi="Times New Roman"/>
                <w:noProof/>
                <w:sz w:val="18"/>
                <w:szCs w:val="16"/>
              </w:rPr>
            </w:pPr>
            <w:r>
              <w:rPr>
                <w:rFonts w:ascii="Times New Roman" w:hAnsi="Times New Roman"/>
                <w:noProof/>
                <w:sz w:val="18"/>
              </w:rPr>
              <w:t>KE, PC</w:t>
            </w:r>
          </w:p>
        </w:tc>
      </w:tr>
      <w:tr>
        <w:trPr>
          <w:jc w:val="center"/>
        </w:trPr>
        <w:tc>
          <w:tcPr>
            <w:tcW w:w="9443" w:type="dxa"/>
            <w:gridSpan w:val="4"/>
            <w:shd w:val="clear" w:color="auto" w:fill="A6A6A6" w:themeFill="background1" w:themeFillShade="A6"/>
          </w:tcPr>
          <w:p>
            <w:pPr>
              <w:spacing w:line="312" w:lineRule="auto"/>
              <w:rPr>
                <w:rFonts w:ascii="Times New Roman" w:hAnsi="Times New Roman"/>
                <w:b/>
                <w:noProof/>
                <w:color w:val="FFFFFF"/>
                <w:sz w:val="18"/>
                <w:szCs w:val="16"/>
              </w:rPr>
            </w:pPr>
            <w:r>
              <w:rPr>
                <w:rFonts w:ascii="Times New Roman" w:hAnsi="Times New Roman"/>
                <w:b/>
                <w:noProof/>
                <w:color w:val="FFFFFF"/>
                <w:sz w:val="18"/>
              </w:rPr>
              <w:t>Obszar tematyczny 3: Angażowanie zainteresowanych stron i podnoszenie świadomości na temat interoperacyjności</w:t>
            </w:r>
          </w:p>
        </w:tc>
      </w:tr>
      <w:tr>
        <w:trPr>
          <w:jc w:val="center"/>
        </w:trPr>
        <w:tc>
          <w:tcPr>
            <w:tcW w:w="2596" w:type="dxa"/>
            <w:vMerge w:val="restart"/>
          </w:tcPr>
          <w:p>
            <w:pPr>
              <w:spacing w:line="312" w:lineRule="auto"/>
              <w:rPr>
                <w:rFonts w:ascii="Times New Roman" w:hAnsi="Times New Roman"/>
                <w:noProof/>
                <w:color w:val="000000"/>
                <w:sz w:val="18"/>
                <w:szCs w:val="16"/>
              </w:rPr>
            </w:pPr>
            <w:r>
              <w:rPr>
                <w:rFonts w:ascii="Times New Roman" w:hAnsi="Times New Roman"/>
                <w:noProof/>
                <w:color w:val="000000"/>
                <w:sz w:val="18"/>
              </w:rPr>
              <w:t>Zachęcanie administracji publicznych do korzystania z istniejących i nowych rozwiązań interoperacyjnych z jednoczesnym stosowaniem zasad, zaleceń i modeli zawartych w europejskich ramach interoperacyjności. Definiowanie i mierzenie głównych korzyści, które można byłoby osiągnąć dzięki stosowaniu zasad, zaleceń i modeli zawartych w europejskich ramach interoperacyjności, oraz informowanie o tych korzyściach.</w:t>
            </w:r>
          </w:p>
          <w:p>
            <w:pPr>
              <w:spacing w:line="312" w:lineRule="auto"/>
              <w:rPr>
                <w:rFonts w:ascii="Times New Roman" w:hAnsi="Times New Roman"/>
                <w:noProof/>
                <w:color w:val="000000"/>
                <w:sz w:val="18"/>
                <w:szCs w:val="16"/>
              </w:rPr>
            </w:pPr>
          </w:p>
        </w:tc>
        <w:tc>
          <w:tcPr>
            <w:tcW w:w="3929" w:type="dxa"/>
          </w:tcPr>
          <w:p>
            <w:pPr>
              <w:numPr>
                <w:ilvl w:val="0"/>
                <w:numId w:val="20"/>
              </w:numPr>
              <w:spacing w:before="120" w:after="120" w:line="312" w:lineRule="auto"/>
              <w:ind w:left="318"/>
              <w:contextualSpacing/>
              <w:rPr>
                <w:rFonts w:ascii="Times New Roman" w:eastAsia="Arial" w:hAnsi="Times New Roman"/>
                <w:noProof/>
                <w:sz w:val="18"/>
                <w:szCs w:val="16"/>
              </w:rPr>
            </w:pPr>
            <w:r>
              <w:rPr>
                <w:rFonts w:ascii="Times New Roman" w:hAnsi="Times New Roman"/>
                <w:noProof/>
                <w:sz w:val="18"/>
              </w:rPr>
              <w:t>Opracowanie i zrealizowanie kampanii informacyjnych propagujących znaczenie interoperacyjności i korzyści płynących ze stosowania europejskich ram interoperacyjności.</w:t>
            </w:r>
          </w:p>
        </w:tc>
        <w:tc>
          <w:tcPr>
            <w:tcW w:w="1150" w:type="dxa"/>
          </w:tcPr>
          <w:p>
            <w:pPr>
              <w:spacing w:line="312" w:lineRule="auto"/>
              <w:rPr>
                <w:rFonts w:ascii="Times New Roman" w:hAnsi="Times New Roman"/>
                <w:noProof/>
                <w:color w:val="000000"/>
                <w:sz w:val="18"/>
                <w:szCs w:val="16"/>
              </w:rPr>
            </w:pPr>
            <w:r>
              <w:rPr>
                <w:rFonts w:ascii="Times New Roman" w:hAnsi="Times New Roman"/>
                <w:noProof/>
                <w:color w:val="000000"/>
                <w:sz w:val="18"/>
              </w:rPr>
              <w:t>2017–2020</w:t>
            </w:r>
          </w:p>
          <w:p>
            <w:pPr>
              <w:tabs>
                <w:tab w:val="left" w:pos="664"/>
              </w:tabs>
              <w:rPr>
                <w:rFonts w:ascii="Times New Roman" w:hAnsi="Times New Roman"/>
                <w:noProof/>
                <w:sz w:val="18"/>
                <w:szCs w:val="16"/>
              </w:rPr>
            </w:pPr>
            <w:r>
              <w:rPr>
                <w:noProof/>
              </w:rPr>
              <w:tab/>
            </w:r>
          </w:p>
        </w:tc>
        <w:tc>
          <w:tcPr>
            <w:tcW w:w="1768" w:type="dxa"/>
          </w:tcPr>
          <w:p>
            <w:pPr>
              <w:spacing w:line="312" w:lineRule="auto"/>
              <w:rPr>
                <w:rFonts w:ascii="Times New Roman" w:hAnsi="Times New Roman"/>
                <w:noProof/>
                <w:color w:val="000000"/>
                <w:sz w:val="18"/>
                <w:szCs w:val="16"/>
              </w:rPr>
            </w:pPr>
            <w:r>
              <w:rPr>
                <w:rFonts w:ascii="Times New Roman" w:hAnsi="Times New Roman"/>
                <w:noProof/>
                <w:color w:val="000000"/>
                <w:sz w:val="18"/>
              </w:rPr>
              <w:t>KE, PC</w:t>
            </w:r>
          </w:p>
        </w:tc>
      </w:tr>
      <w:tr>
        <w:trPr>
          <w:jc w:val="center"/>
        </w:trPr>
        <w:tc>
          <w:tcPr>
            <w:tcW w:w="2596" w:type="dxa"/>
            <w:vMerge/>
          </w:tcPr>
          <w:p>
            <w:pPr>
              <w:spacing w:line="312" w:lineRule="auto"/>
              <w:rPr>
                <w:rFonts w:ascii="Times New Roman" w:hAnsi="Times New Roman"/>
                <w:noProof/>
                <w:color w:val="000000"/>
                <w:sz w:val="18"/>
                <w:szCs w:val="16"/>
              </w:rPr>
            </w:pPr>
          </w:p>
        </w:tc>
        <w:tc>
          <w:tcPr>
            <w:tcW w:w="3929" w:type="dxa"/>
          </w:tcPr>
          <w:p>
            <w:pPr>
              <w:numPr>
                <w:ilvl w:val="0"/>
                <w:numId w:val="20"/>
              </w:numPr>
              <w:spacing w:before="120" w:after="120" w:line="312" w:lineRule="auto"/>
              <w:ind w:left="318"/>
              <w:contextualSpacing/>
              <w:rPr>
                <w:rFonts w:ascii="Times New Roman" w:eastAsia="Arial" w:hAnsi="Times New Roman"/>
                <w:noProof/>
                <w:sz w:val="18"/>
                <w:szCs w:val="16"/>
              </w:rPr>
            </w:pPr>
            <w:r>
              <w:rPr>
                <w:rFonts w:ascii="Times New Roman" w:hAnsi="Times New Roman"/>
                <w:noProof/>
                <w:sz w:val="18"/>
              </w:rPr>
              <w:t>Współpraca z krajowymi punktami konsultacyjnymi państw członkowskich odpowiedzialnych za wdrażanie na poziomie krajowym (np. wspieranie tworzenia struktury zarządzania, wdrażanie rozwiązań, zachęcanie do udziału w unijnych projektach pilotażowych).</w:t>
            </w:r>
          </w:p>
        </w:tc>
        <w:tc>
          <w:tcPr>
            <w:tcW w:w="1150" w:type="dxa"/>
          </w:tcPr>
          <w:p>
            <w:pPr>
              <w:spacing w:line="312" w:lineRule="auto"/>
              <w:rPr>
                <w:rFonts w:ascii="Times New Roman" w:hAnsi="Times New Roman"/>
                <w:noProof/>
                <w:color w:val="000000"/>
                <w:sz w:val="18"/>
                <w:szCs w:val="16"/>
              </w:rPr>
            </w:pPr>
            <w:r>
              <w:rPr>
                <w:rFonts w:ascii="Times New Roman" w:hAnsi="Times New Roman"/>
                <w:noProof/>
                <w:color w:val="000000"/>
                <w:sz w:val="18"/>
              </w:rPr>
              <w:t>2018–2020</w:t>
            </w:r>
          </w:p>
        </w:tc>
        <w:tc>
          <w:tcPr>
            <w:tcW w:w="1768" w:type="dxa"/>
          </w:tcPr>
          <w:p>
            <w:pPr>
              <w:spacing w:line="312" w:lineRule="auto"/>
              <w:rPr>
                <w:rFonts w:ascii="Times New Roman" w:hAnsi="Times New Roman"/>
                <w:noProof/>
                <w:color w:val="000000"/>
                <w:sz w:val="18"/>
                <w:szCs w:val="16"/>
              </w:rPr>
            </w:pPr>
            <w:r>
              <w:rPr>
                <w:rFonts w:ascii="Times New Roman" w:hAnsi="Times New Roman"/>
                <w:noProof/>
                <w:color w:val="000000"/>
                <w:sz w:val="18"/>
              </w:rPr>
              <w:t>KE, PC</w:t>
            </w:r>
          </w:p>
        </w:tc>
      </w:tr>
      <w:tr>
        <w:trPr>
          <w:jc w:val="center"/>
        </w:trPr>
        <w:tc>
          <w:tcPr>
            <w:tcW w:w="2596" w:type="dxa"/>
            <w:vMerge/>
          </w:tcPr>
          <w:p>
            <w:pPr>
              <w:spacing w:line="312" w:lineRule="auto"/>
              <w:rPr>
                <w:rFonts w:ascii="Times New Roman" w:hAnsi="Times New Roman"/>
                <w:noProof/>
                <w:color w:val="000000"/>
                <w:sz w:val="18"/>
                <w:szCs w:val="16"/>
              </w:rPr>
            </w:pPr>
          </w:p>
        </w:tc>
        <w:tc>
          <w:tcPr>
            <w:tcW w:w="3929" w:type="dxa"/>
          </w:tcPr>
          <w:p>
            <w:pPr>
              <w:numPr>
                <w:ilvl w:val="0"/>
                <w:numId w:val="20"/>
              </w:numPr>
              <w:spacing w:before="120" w:after="120" w:line="312" w:lineRule="auto"/>
              <w:ind w:left="318"/>
              <w:contextualSpacing/>
              <w:rPr>
                <w:rFonts w:ascii="Times New Roman" w:eastAsia="Arial" w:hAnsi="Times New Roman"/>
                <w:noProof/>
                <w:sz w:val="18"/>
                <w:szCs w:val="16"/>
              </w:rPr>
            </w:pPr>
            <w:r>
              <w:rPr>
                <w:rFonts w:ascii="Times New Roman" w:hAnsi="Times New Roman"/>
                <w:noProof/>
                <w:sz w:val="18"/>
              </w:rPr>
              <w:t>Utrzymywanie, ulepszanie i aktywizowanie platformy Joinup w celu lepszego zaangażowania użytkowników i budowania społeczności.</w:t>
            </w:r>
          </w:p>
        </w:tc>
        <w:tc>
          <w:tcPr>
            <w:tcW w:w="1150" w:type="dxa"/>
          </w:tcPr>
          <w:p>
            <w:pPr>
              <w:spacing w:line="312" w:lineRule="auto"/>
              <w:rPr>
                <w:rFonts w:ascii="Times New Roman" w:hAnsi="Times New Roman"/>
                <w:noProof/>
                <w:color w:val="000000"/>
                <w:sz w:val="18"/>
                <w:szCs w:val="16"/>
              </w:rPr>
            </w:pPr>
            <w:r>
              <w:rPr>
                <w:rFonts w:ascii="Times New Roman" w:hAnsi="Times New Roman"/>
                <w:noProof/>
                <w:color w:val="000000"/>
                <w:sz w:val="18"/>
              </w:rPr>
              <w:t>2017–2020</w:t>
            </w:r>
          </w:p>
        </w:tc>
        <w:tc>
          <w:tcPr>
            <w:tcW w:w="1768" w:type="dxa"/>
          </w:tcPr>
          <w:p>
            <w:pPr>
              <w:spacing w:line="312" w:lineRule="auto"/>
              <w:rPr>
                <w:rFonts w:ascii="Times New Roman" w:hAnsi="Times New Roman"/>
                <w:noProof/>
                <w:color w:val="000000"/>
                <w:sz w:val="18"/>
                <w:szCs w:val="16"/>
              </w:rPr>
            </w:pPr>
            <w:r>
              <w:rPr>
                <w:rFonts w:ascii="Times New Roman" w:hAnsi="Times New Roman"/>
                <w:noProof/>
                <w:color w:val="000000"/>
                <w:sz w:val="18"/>
              </w:rPr>
              <w:t>KE, PC</w:t>
            </w:r>
          </w:p>
        </w:tc>
      </w:tr>
      <w:tr>
        <w:trPr>
          <w:jc w:val="center"/>
        </w:trPr>
        <w:tc>
          <w:tcPr>
            <w:tcW w:w="2596" w:type="dxa"/>
          </w:tcPr>
          <w:p>
            <w:pPr>
              <w:spacing w:line="312" w:lineRule="auto"/>
              <w:rPr>
                <w:rFonts w:ascii="Times New Roman" w:hAnsi="Times New Roman"/>
                <w:noProof/>
                <w:color w:val="000000"/>
                <w:sz w:val="18"/>
                <w:szCs w:val="16"/>
              </w:rPr>
            </w:pPr>
            <w:r>
              <w:rPr>
                <w:rFonts w:ascii="Times New Roman" w:hAnsi="Times New Roman"/>
                <w:noProof/>
                <w:color w:val="000000"/>
                <w:sz w:val="18"/>
              </w:rPr>
              <w:t>Kierowanie opracowywaniem i rozwijaniem usług publicznych na podstawie potrzeb użytkowników.</w:t>
            </w:r>
          </w:p>
        </w:tc>
        <w:tc>
          <w:tcPr>
            <w:tcW w:w="3929" w:type="dxa"/>
          </w:tcPr>
          <w:p>
            <w:pPr>
              <w:numPr>
                <w:ilvl w:val="0"/>
                <w:numId w:val="20"/>
              </w:numPr>
              <w:spacing w:before="120" w:after="120" w:line="312" w:lineRule="auto"/>
              <w:ind w:left="318"/>
              <w:contextualSpacing/>
              <w:rPr>
                <w:rFonts w:ascii="Times New Roman" w:eastAsia="Arial" w:hAnsi="Times New Roman"/>
                <w:noProof/>
                <w:sz w:val="18"/>
                <w:szCs w:val="16"/>
              </w:rPr>
            </w:pPr>
            <w:r>
              <w:rPr>
                <w:rFonts w:ascii="Times New Roman" w:hAnsi="Times New Roman"/>
                <w:noProof/>
                <w:sz w:val="18"/>
              </w:rPr>
              <w:t>Określenie lub wprowadzenie sposobów angażowania użytkowników w rozwój cyfrowych usług publicznych.</w:t>
            </w:r>
          </w:p>
        </w:tc>
        <w:tc>
          <w:tcPr>
            <w:tcW w:w="1150" w:type="dxa"/>
          </w:tcPr>
          <w:p>
            <w:pPr>
              <w:spacing w:line="312" w:lineRule="auto"/>
              <w:rPr>
                <w:rFonts w:ascii="Times New Roman" w:hAnsi="Times New Roman"/>
                <w:noProof/>
                <w:color w:val="000000"/>
                <w:sz w:val="18"/>
                <w:szCs w:val="16"/>
              </w:rPr>
            </w:pPr>
            <w:r>
              <w:rPr>
                <w:rFonts w:ascii="Times New Roman" w:hAnsi="Times New Roman"/>
                <w:noProof/>
                <w:color w:val="000000"/>
                <w:sz w:val="18"/>
              </w:rPr>
              <w:t>2018–2020</w:t>
            </w:r>
          </w:p>
        </w:tc>
        <w:tc>
          <w:tcPr>
            <w:tcW w:w="1768" w:type="dxa"/>
          </w:tcPr>
          <w:p>
            <w:pPr>
              <w:spacing w:line="312" w:lineRule="auto"/>
              <w:rPr>
                <w:rFonts w:ascii="Times New Roman" w:hAnsi="Times New Roman"/>
                <w:noProof/>
                <w:color w:val="000000"/>
                <w:sz w:val="18"/>
                <w:szCs w:val="16"/>
              </w:rPr>
            </w:pPr>
            <w:r>
              <w:rPr>
                <w:rFonts w:ascii="Times New Roman" w:hAnsi="Times New Roman"/>
                <w:noProof/>
                <w:color w:val="000000"/>
                <w:sz w:val="18"/>
              </w:rPr>
              <w:t>KE, PC</w:t>
            </w:r>
          </w:p>
        </w:tc>
      </w:tr>
      <w:tr>
        <w:trPr>
          <w:jc w:val="center"/>
        </w:trPr>
        <w:tc>
          <w:tcPr>
            <w:tcW w:w="9443" w:type="dxa"/>
            <w:gridSpan w:val="4"/>
            <w:shd w:val="clear" w:color="auto" w:fill="A6A6A6" w:themeFill="background1" w:themeFillShade="A6"/>
          </w:tcPr>
          <w:p>
            <w:pPr>
              <w:spacing w:line="312" w:lineRule="auto"/>
              <w:rPr>
                <w:rFonts w:ascii="Times New Roman" w:hAnsi="Times New Roman"/>
                <w:b/>
                <w:noProof/>
                <w:color w:val="FFFFFF"/>
                <w:sz w:val="18"/>
                <w:szCs w:val="16"/>
              </w:rPr>
            </w:pPr>
            <w:r>
              <w:rPr>
                <w:rFonts w:ascii="Times New Roman" w:hAnsi="Times New Roman"/>
                <w:b/>
                <w:noProof/>
                <w:color w:val="FFFFFF"/>
                <w:sz w:val="18"/>
              </w:rPr>
              <w:t>Obszar tematyczny 4: Opracowanie, utrzymywanie i promowanie kluczowych czynników umożliwiających interoperacyjność</w:t>
            </w:r>
          </w:p>
        </w:tc>
      </w:tr>
      <w:tr>
        <w:trPr>
          <w:jc w:val="center"/>
        </w:trPr>
        <w:tc>
          <w:tcPr>
            <w:tcW w:w="2596" w:type="dxa"/>
            <w:vMerge w:val="restart"/>
          </w:tcPr>
          <w:p>
            <w:pPr>
              <w:spacing w:line="312" w:lineRule="auto"/>
              <w:rPr>
                <w:rFonts w:ascii="Times New Roman" w:hAnsi="Times New Roman"/>
                <w:noProof/>
                <w:color w:val="000000"/>
                <w:sz w:val="18"/>
                <w:szCs w:val="16"/>
              </w:rPr>
            </w:pPr>
            <w:r>
              <w:rPr>
                <w:rFonts w:ascii="Times New Roman" w:hAnsi="Times New Roman"/>
                <w:noProof/>
                <w:color w:val="000000"/>
                <w:sz w:val="18"/>
              </w:rPr>
              <w:t>Zdefiniowanie, rozwijanie, ulepszanie, zapewnienie działania, utrzymywanie i promowanie interoperacyjnych usług, narzędzi, norm i specyfikacji.</w:t>
            </w:r>
          </w:p>
        </w:tc>
        <w:tc>
          <w:tcPr>
            <w:tcW w:w="3929" w:type="dxa"/>
          </w:tcPr>
          <w:p>
            <w:pPr>
              <w:numPr>
                <w:ilvl w:val="0"/>
                <w:numId w:val="20"/>
              </w:numPr>
              <w:spacing w:before="120" w:after="120" w:line="312" w:lineRule="auto"/>
              <w:ind w:left="318"/>
              <w:contextualSpacing/>
              <w:rPr>
                <w:rFonts w:ascii="Times New Roman" w:eastAsia="Arial" w:hAnsi="Times New Roman"/>
                <w:noProof/>
                <w:sz w:val="18"/>
                <w:szCs w:val="16"/>
              </w:rPr>
            </w:pPr>
            <w:r>
              <w:rPr>
                <w:rFonts w:ascii="Times New Roman" w:hAnsi="Times New Roman"/>
                <w:noProof/>
                <w:sz w:val="18"/>
              </w:rPr>
              <w:t>Ustanowienie i wdrożenie wspólnych specyfikacji warunków dostępu do rejestrów podstawowych i zarządzania tymi rejestrami.</w:t>
            </w:r>
          </w:p>
          <w:p>
            <w:pPr>
              <w:spacing w:before="120" w:after="120" w:line="312" w:lineRule="auto"/>
              <w:ind w:left="318"/>
              <w:contextualSpacing/>
              <w:rPr>
                <w:rFonts w:ascii="Times New Roman" w:eastAsia="Arial" w:hAnsi="Times New Roman"/>
                <w:noProof/>
                <w:sz w:val="18"/>
                <w:szCs w:val="16"/>
              </w:rPr>
            </w:pPr>
            <w:r>
              <w:rPr>
                <w:rFonts w:ascii="Times New Roman" w:hAnsi="Times New Roman"/>
                <w:noProof/>
                <w:sz w:val="18"/>
              </w:rPr>
              <w:t>Rozszerzenie kartografii istniejących rozwiązań na obszar rejestrów podstawowych.</w:t>
            </w:r>
          </w:p>
        </w:tc>
        <w:tc>
          <w:tcPr>
            <w:tcW w:w="1150" w:type="dxa"/>
          </w:tcPr>
          <w:p>
            <w:pPr>
              <w:spacing w:line="312" w:lineRule="auto"/>
              <w:rPr>
                <w:rFonts w:ascii="Times New Roman" w:hAnsi="Times New Roman"/>
                <w:noProof/>
                <w:color w:val="000000"/>
                <w:sz w:val="18"/>
                <w:szCs w:val="16"/>
              </w:rPr>
            </w:pPr>
            <w:r>
              <w:rPr>
                <w:rFonts w:ascii="Times New Roman" w:hAnsi="Times New Roman"/>
                <w:noProof/>
                <w:color w:val="000000"/>
                <w:sz w:val="18"/>
              </w:rPr>
              <w:t>2017–2020</w:t>
            </w:r>
          </w:p>
        </w:tc>
        <w:tc>
          <w:tcPr>
            <w:tcW w:w="1768" w:type="dxa"/>
          </w:tcPr>
          <w:p>
            <w:pPr>
              <w:spacing w:line="312" w:lineRule="auto"/>
              <w:rPr>
                <w:rFonts w:ascii="Times New Roman" w:hAnsi="Times New Roman"/>
                <w:noProof/>
                <w:color w:val="000000"/>
                <w:sz w:val="18"/>
                <w:szCs w:val="16"/>
              </w:rPr>
            </w:pPr>
            <w:r>
              <w:rPr>
                <w:rFonts w:ascii="Times New Roman" w:hAnsi="Times New Roman"/>
                <w:noProof/>
                <w:color w:val="000000"/>
                <w:sz w:val="18"/>
              </w:rPr>
              <w:t>KE, PC</w:t>
            </w:r>
          </w:p>
        </w:tc>
      </w:tr>
      <w:tr>
        <w:trPr>
          <w:jc w:val="center"/>
        </w:trPr>
        <w:tc>
          <w:tcPr>
            <w:tcW w:w="2596" w:type="dxa"/>
            <w:vMerge/>
          </w:tcPr>
          <w:p>
            <w:pPr>
              <w:spacing w:line="312" w:lineRule="auto"/>
              <w:rPr>
                <w:rFonts w:ascii="Times New Roman" w:hAnsi="Times New Roman"/>
                <w:noProof/>
                <w:color w:val="000000"/>
                <w:sz w:val="18"/>
                <w:szCs w:val="16"/>
              </w:rPr>
            </w:pPr>
          </w:p>
        </w:tc>
        <w:tc>
          <w:tcPr>
            <w:tcW w:w="3929" w:type="dxa"/>
          </w:tcPr>
          <w:p>
            <w:pPr>
              <w:numPr>
                <w:ilvl w:val="0"/>
                <w:numId w:val="20"/>
              </w:numPr>
              <w:spacing w:before="120" w:after="120" w:line="312" w:lineRule="auto"/>
              <w:ind w:left="318"/>
              <w:contextualSpacing/>
              <w:rPr>
                <w:rFonts w:ascii="Times New Roman" w:eastAsia="Arial" w:hAnsi="Times New Roman"/>
                <w:noProof/>
                <w:sz w:val="18"/>
                <w:szCs w:val="16"/>
              </w:rPr>
            </w:pPr>
            <w:r>
              <w:rPr>
                <w:rFonts w:ascii="Times New Roman" w:hAnsi="Times New Roman"/>
                <w:noProof/>
                <w:sz w:val="18"/>
              </w:rPr>
              <w:t>Wdrożenie i promowanie wspólnych modeli opisywania i katalogowania usług publicznych w całej UE.</w:t>
            </w:r>
          </w:p>
        </w:tc>
        <w:tc>
          <w:tcPr>
            <w:tcW w:w="1150" w:type="dxa"/>
          </w:tcPr>
          <w:p>
            <w:pPr>
              <w:spacing w:line="312" w:lineRule="auto"/>
              <w:rPr>
                <w:rFonts w:ascii="Times New Roman" w:hAnsi="Times New Roman"/>
                <w:noProof/>
                <w:color w:val="000000"/>
                <w:sz w:val="18"/>
                <w:szCs w:val="16"/>
              </w:rPr>
            </w:pPr>
            <w:r>
              <w:rPr>
                <w:rFonts w:ascii="Times New Roman" w:hAnsi="Times New Roman"/>
                <w:noProof/>
                <w:color w:val="000000"/>
                <w:sz w:val="18"/>
              </w:rPr>
              <w:t>2017–2020</w:t>
            </w:r>
          </w:p>
        </w:tc>
        <w:tc>
          <w:tcPr>
            <w:tcW w:w="1768" w:type="dxa"/>
          </w:tcPr>
          <w:p>
            <w:pPr>
              <w:spacing w:line="312" w:lineRule="auto"/>
              <w:rPr>
                <w:rFonts w:ascii="Times New Roman" w:hAnsi="Times New Roman"/>
                <w:noProof/>
                <w:color w:val="000000"/>
                <w:sz w:val="18"/>
                <w:szCs w:val="16"/>
              </w:rPr>
            </w:pPr>
            <w:r>
              <w:rPr>
                <w:rFonts w:ascii="Times New Roman" w:hAnsi="Times New Roman"/>
                <w:noProof/>
                <w:color w:val="000000"/>
                <w:sz w:val="18"/>
              </w:rPr>
              <w:t>KE, PC</w:t>
            </w:r>
          </w:p>
        </w:tc>
      </w:tr>
      <w:tr>
        <w:trPr>
          <w:trHeight w:val="537"/>
          <w:jc w:val="center"/>
        </w:trPr>
        <w:tc>
          <w:tcPr>
            <w:tcW w:w="2596" w:type="dxa"/>
            <w:vMerge/>
          </w:tcPr>
          <w:p>
            <w:pPr>
              <w:spacing w:line="312" w:lineRule="auto"/>
              <w:rPr>
                <w:rFonts w:ascii="Times New Roman" w:hAnsi="Times New Roman"/>
                <w:noProof/>
                <w:color w:val="000000"/>
                <w:sz w:val="18"/>
                <w:szCs w:val="16"/>
              </w:rPr>
            </w:pPr>
          </w:p>
        </w:tc>
        <w:tc>
          <w:tcPr>
            <w:tcW w:w="3929" w:type="dxa"/>
          </w:tcPr>
          <w:p>
            <w:pPr>
              <w:numPr>
                <w:ilvl w:val="0"/>
                <w:numId w:val="20"/>
              </w:numPr>
              <w:spacing w:before="120" w:after="120" w:line="312" w:lineRule="auto"/>
              <w:ind w:left="318"/>
              <w:contextualSpacing/>
              <w:rPr>
                <w:rFonts w:ascii="Times New Roman" w:eastAsia="Arial" w:hAnsi="Times New Roman"/>
                <w:noProof/>
                <w:sz w:val="18"/>
                <w:szCs w:val="16"/>
              </w:rPr>
            </w:pPr>
            <w:r>
              <w:rPr>
                <w:rFonts w:ascii="Times New Roman" w:hAnsi="Times New Roman"/>
                <w:noProof/>
                <w:sz w:val="18"/>
              </w:rPr>
              <w:t>Opracowanie specyfikacji danych i narzędzi służących wspieraniu inicjatyw dotyczących otwartych danych.</w:t>
            </w:r>
          </w:p>
        </w:tc>
        <w:tc>
          <w:tcPr>
            <w:tcW w:w="1150" w:type="dxa"/>
          </w:tcPr>
          <w:p>
            <w:pPr>
              <w:spacing w:line="312" w:lineRule="auto"/>
              <w:rPr>
                <w:rFonts w:ascii="Times New Roman" w:hAnsi="Times New Roman"/>
                <w:noProof/>
                <w:color w:val="000000"/>
                <w:sz w:val="18"/>
                <w:szCs w:val="16"/>
              </w:rPr>
            </w:pPr>
            <w:r>
              <w:rPr>
                <w:rFonts w:ascii="Times New Roman" w:hAnsi="Times New Roman"/>
                <w:noProof/>
                <w:color w:val="000000"/>
                <w:sz w:val="18"/>
              </w:rPr>
              <w:t>2018–2020</w:t>
            </w:r>
          </w:p>
        </w:tc>
        <w:tc>
          <w:tcPr>
            <w:tcW w:w="1768" w:type="dxa"/>
          </w:tcPr>
          <w:p>
            <w:pPr>
              <w:spacing w:line="312" w:lineRule="auto"/>
              <w:rPr>
                <w:rFonts w:ascii="Times New Roman" w:hAnsi="Times New Roman"/>
                <w:noProof/>
                <w:color w:val="000000"/>
                <w:sz w:val="18"/>
                <w:szCs w:val="16"/>
              </w:rPr>
            </w:pPr>
            <w:r>
              <w:rPr>
                <w:rFonts w:ascii="Times New Roman" w:hAnsi="Times New Roman"/>
                <w:noProof/>
                <w:color w:val="000000"/>
                <w:sz w:val="18"/>
              </w:rPr>
              <w:t>KE, PC</w:t>
            </w:r>
          </w:p>
        </w:tc>
      </w:tr>
      <w:tr>
        <w:trPr>
          <w:jc w:val="center"/>
        </w:trPr>
        <w:tc>
          <w:tcPr>
            <w:tcW w:w="2596" w:type="dxa"/>
            <w:vMerge/>
          </w:tcPr>
          <w:p>
            <w:pPr>
              <w:spacing w:line="312" w:lineRule="auto"/>
              <w:rPr>
                <w:rFonts w:ascii="Times New Roman" w:hAnsi="Times New Roman"/>
                <w:noProof/>
                <w:color w:val="000000"/>
                <w:sz w:val="18"/>
                <w:szCs w:val="16"/>
              </w:rPr>
            </w:pPr>
          </w:p>
        </w:tc>
        <w:tc>
          <w:tcPr>
            <w:tcW w:w="3929" w:type="dxa"/>
          </w:tcPr>
          <w:p>
            <w:pPr>
              <w:numPr>
                <w:ilvl w:val="0"/>
                <w:numId w:val="20"/>
              </w:numPr>
              <w:spacing w:before="120" w:after="120" w:line="312" w:lineRule="auto"/>
              <w:ind w:left="318"/>
              <w:contextualSpacing/>
              <w:rPr>
                <w:rFonts w:ascii="Times New Roman" w:eastAsia="Arial" w:hAnsi="Times New Roman"/>
                <w:noProof/>
                <w:sz w:val="18"/>
                <w:szCs w:val="16"/>
              </w:rPr>
            </w:pPr>
            <w:r>
              <w:rPr>
                <w:rFonts w:ascii="Times New Roman" w:hAnsi="Times New Roman"/>
                <w:noProof/>
                <w:sz w:val="18"/>
              </w:rPr>
              <w:t>Określenie środków służących zwiększaniu zaufania odnośnie do świadczenia europejskich cyfrowych usług publicznych.</w:t>
            </w:r>
          </w:p>
          <w:p>
            <w:pPr>
              <w:spacing w:before="120" w:after="120" w:line="312" w:lineRule="auto"/>
              <w:ind w:left="318"/>
              <w:contextualSpacing/>
              <w:rPr>
                <w:rFonts w:ascii="Times New Roman" w:eastAsia="Arial" w:hAnsi="Times New Roman"/>
                <w:noProof/>
                <w:sz w:val="18"/>
                <w:szCs w:val="16"/>
              </w:rPr>
            </w:pPr>
            <w:r>
              <w:rPr>
                <w:rFonts w:ascii="Times New Roman" w:hAnsi="Times New Roman"/>
                <w:noProof/>
                <w:sz w:val="18"/>
              </w:rPr>
              <w:t>W związku z tym przyspieszenie rozpowszechnienia korzystania z usług eIDAS, w tym tożsamości elektronicznej i podpisu elektronicznego.</w:t>
            </w:r>
          </w:p>
        </w:tc>
        <w:tc>
          <w:tcPr>
            <w:tcW w:w="1150" w:type="dxa"/>
          </w:tcPr>
          <w:p>
            <w:pPr>
              <w:spacing w:line="312" w:lineRule="auto"/>
              <w:rPr>
                <w:rFonts w:ascii="Times New Roman" w:hAnsi="Times New Roman"/>
                <w:noProof/>
                <w:color w:val="000000"/>
                <w:sz w:val="18"/>
                <w:szCs w:val="16"/>
              </w:rPr>
            </w:pPr>
            <w:r>
              <w:rPr>
                <w:rFonts w:ascii="Times New Roman" w:hAnsi="Times New Roman"/>
                <w:noProof/>
                <w:color w:val="000000"/>
                <w:sz w:val="18"/>
              </w:rPr>
              <w:t>2018–2020</w:t>
            </w:r>
          </w:p>
        </w:tc>
        <w:tc>
          <w:tcPr>
            <w:tcW w:w="1768" w:type="dxa"/>
          </w:tcPr>
          <w:p>
            <w:pPr>
              <w:spacing w:line="312" w:lineRule="auto"/>
              <w:rPr>
                <w:rFonts w:ascii="Times New Roman" w:hAnsi="Times New Roman"/>
                <w:noProof/>
                <w:color w:val="000000"/>
                <w:sz w:val="18"/>
                <w:szCs w:val="16"/>
              </w:rPr>
            </w:pPr>
            <w:r>
              <w:rPr>
                <w:rFonts w:ascii="Times New Roman" w:hAnsi="Times New Roman"/>
                <w:noProof/>
                <w:color w:val="000000"/>
                <w:sz w:val="18"/>
              </w:rPr>
              <w:t>KE, PC</w:t>
            </w:r>
          </w:p>
        </w:tc>
      </w:tr>
      <w:tr>
        <w:trPr>
          <w:jc w:val="center"/>
        </w:trPr>
        <w:tc>
          <w:tcPr>
            <w:tcW w:w="2596" w:type="dxa"/>
            <w:vMerge/>
          </w:tcPr>
          <w:p>
            <w:pPr>
              <w:spacing w:line="312" w:lineRule="auto"/>
              <w:rPr>
                <w:rFonts w:ascii="Times New Roman" w:hAnsi="Times New Roman"/>
                <w:noProof/>
                <w:color w:val="000000"/>
                <w:sz w:val="18"/>
                <w:szCs w:val="16"/>
              </w:rPr>
            </w:pPr>
          </w:p>
        </w:tc>
        <w:tc>
          <w:tcPr>
            <w:tcW w:w="3929" w:type="dxa"/>
          </w:tcPr>
          <w:p>
            <w:pPr>
              <w:numPr>
                <w:ilvl w:val="0"/>
                <w:numId w:val="20"/>
              </w:numPr>
              <w:spacing w:before="120" w:after="120" w:line="312" w:lineRule="auto"/>
              <w:ind w:left="318"/>
              <w:contextualSpacing/>
              <w:rPr>
                <w:rFonts w:ascii="Times New Roman" w:eastAsia="Arial" w:hAnsi="Times New Roman"/>
                <w:noProof/>
                <w:sz w:val="18"/>
                <w:szCs w:val="16"/>
              </w:rPr>
            </w:pPr>
            <w:r>
              <w:rPr>
                <w:rFonts w:ascii="Times New Roman" w:hAnsi="Times New Roman"/>
                <w:noProof/>
                <w:sz w:val="18"/>
              </w:rPr>
              <w:t>Przeanalizowanie treści informacji administracji publicznych (w tym dokumentów) stosowanych w odniesieniu do kwestii transgranicznych lub międzysektorowych oraz przeanalizowanie istniejących schematów metadanych dotyczących tych informacji. Ustalenie przeszkód we wzajemnym uznawaniu, opracowanie schematów mapowania i wspieranie działań na rzecz harmonizacji.</w:t>
            </w:r>
          </w:p>
        </w:tc>
        <w:tc>
          <w:tcPr>
            <w:tcW w:w="1150" w:type="dxa"/>
          </w:tcPr>
          <w:p>
            <w:pPr>
              <w:spacing w:line="312" w:lineRule="auto"/>
              <w:rPr>
                <w:rFonts w:ascii="Times New Roman" w:eastAsia="Arial" w:hAnsi="Times New Roman"/>
                <w:noProof/>
                <w:sz w:val="18"/>
                <w:szCs w:val="16"/>
              </w:rPr>
            </w:pPr>
            <w:r>
              <w:rPr>
                <w:rFonts w:ascii="Times New Roman" w:hAnsi="Times New Roman"/>
                <w:noProof/>
                <w:color w:val="000000"/>
                <w:sz w:val="18"/>
              </w:rPr>
              <w:t>2018–2020</w:t>
            </w:r>
          </w:p>
        </w:tc>
        <w:tc>
          <w:tcPr>
            <w:tcW w:w="1768" w:type="dxa"/>
          </w:tcPr>
          <w:p>
            <w:pPr>
              <w:spacing w:line="312" w:lineRule="auto"/>
              <w:rPr>
                <w:rFonts w:ascii="Times New Roman" w:eastAsia="Arial" w:hAnsi="Times New Roman"/>
                <w:noProof/>
                <w:sz w:val="18"/>
                <w:szCs w:val="16"/>
              </w:rPr>
            </w:pPr>
            <w:r>
              <w:rPr>
                <w:rFonts w:ascii="Times New Roman" w:hAnsi="Times New Roman"/>
                <w:noProof/>
                <w:sz w:val="18"/>
              </w:rPr>
              <w:t>KE, PC</w:t>
            </w:r>
          </w:p>
        </w:tc>
      </w:tr>
      <w:tr>
        <w:trPr>
          <w:jc w:val="center"/>
        </w:trPr>
        <w:tc>
          <w:tcPr>
            <w:tcW w:w="2596" w:type="dxa"/>
            <w:vMerge/>
          </w:tcPr>
          <w:p>
            <w:pPr>
              <w:spacing w:line="312" w:lineRule="auto"/>
              <w:rPr>
                <w:rFonts w:ascii="Times New Roman" w:hAnsi="Times New Roman"/>
                <w:noProof/>
                <w:color w:val="000000"/>
                <w:sz w:val="18"/>
                <w:szCs w:val="16"/>
              </w:rPr>
            </w:pPr>
          </w:p>
        </w:tc>
        <w:tc>
          <w:tcPr>
            <w:tcW w:w="3929" w:type="dxa"/>
          </w:tcPr>
          <w:p>
            <w:pPr>
              <w:numPr>
                <w:ilvl w:val="0"/>
                <w:numId w:val="20"/>
              </w:numPr>
              <w:spacing w:before="120" w:after="120" w:line="312" w:lineRule="auto"/>
              <w:ind w:left="318"/>
              <w:contextualSpacing/>
              <w:rPr>
                <w:rFonts w:ascii="Times New Roman" w:eastAsia="Arial" w:hAnsi="Times New Roman"/>
                <w:noProof/>
                <w:sz w:val="18"/>
                <w:szCs w:val="16"/>
              </w:rPr>
            </w:pPr>
            <w:r>
              <w:rPr>
                <w:rFonts w:ascii="Times New Roman" w:hAnsi="Times New Roman"/>
                <w:noProof/>
                <w:sz w:val="18"/>
              </w:rPr>
              <w:t>Dalsze wspieranie wdrożenia i ulepszania dyrektywy INSPIRE dzięki wykorzystywaniu danych geoprzestrzennych w cyfrowych usługach publicznych.</w:t>
            </w:r>
          </w:p>
        </w:tc>
        <w:tc>
          <w:tcPr>
            <w:tcW w:w="1150" w:type="dxa"/>
          </w:tcPr>
          <w:p>
            <w:pPr>
              <w:spacing w:line="312" w:lineRule="auto"/>
              <w:rPr>
                <w:rFonts w:ascii="Times New Roman" w:hAnsi="Times New Roman"/>
                <w:noProof/>
                <w:color w:val="000000"/>
                <w:sz w:val="18"/>
                <w:szCs w:val="16"/>
              </w:rPr>
            </w:pPr>
            <w:r>
              <w:rPr>
                <w:rFonts w:ascii="Times New Roman" w:hAnsi="Times New Roman"/>
                <w:noProof/>
                <w:color w:val="000000"/>
                <w:sz w:val="18"/>
              </w:rPr>
              <w:t>2017–2020</w:t>
            </w:r>
          </w:p>
        </w:tc>
        <w:tc>
          <w:tcPr>
            <w:tcW w:w="1768" w:type="dxa"/>
          </w:tcPr>
          <w:p>
            <w:pPr>
              <w:spacing w:line="312" w:lineRule="auto"/>
              <w:rPr>
                <w:rFonts w:ascii="Times New Roman" w:hAnsi="Times New Roman"/>
                <w:noProof/>
                <w:color w:val="000000"/>
                <w:sz w:val="18"/>
                <w:szCs w:val="16"/>
              </w:rPr>
            </w:pPr>
            <w:r>
              <w:rPr>
                <w:rFonts w:ascii="Times New Roman" w:hAnsi="Times New Roman"/>
                <w:noProof/>
                <w:color w:val="000000"/>
                <w:sz w:val="18"/>
              </w:rPr>
              <w:t>KE, PC</w:t>
            </w:r>
          </w:p>
        </w:tc>
      </w:tr>
      <w:tr>
        <w:trPr>
          <w:jc w:val="center"/>
        </w:trPr>
        <w:tc>
          <w:tcPr>
            <w:tcW w:w="2596" w:type="dxa"/>
            <w:vMerge/>
          </w:tcPr>
          <w:p>
            <w:pPr>
              <w:spacing w:line="312" w:lineRule="auto"/>
              <w:rPr>
                <w:rFonts w:ascii="Times New Roman" w:hAnsi="Times New Roman"/>
                <w:noProof/>
                <w:color w:val="000000"/>
                <w:sz w:val="18"/>
                <w:szCs w:val="16"/>
              </w:rPr>
            </w:pPr>
          </w:p>
        </w:tc>
        <w:tc>
          <w:tcPr>
            <w:tcW w:w="3929" w:type="dxa"/>
          </w:tcPr>
          <w:p>
            <w:pPr>
              <w:numPr>
                <w:ilvl w:val="0"/>
                <w:numId w:val="20"/>
              </w:numPr>
              <w:spacing w:before="120" w:after="120" w:line="312" w:lineRule="auto"/>
              <w:ind w:left="318"/>
              <w:contextualSpacing/>
              <w:rPr>
                <w:rFonts w:ascii="Times New Roman" w:eastAsia="Arial" w:hAnsi="Times New Roman"/>
                <w:noProof/>
                <w:sz w:val="18"/>
                <w:szCs w:val="16"/>
              </w:rPr>
            </w:pPr>
            <w:r>
              <w:rPr>
                <w:rFonts w:ascii="Times New Roman" w:hAnsi="Times New Roman"/>
                <w:noProof/>
                <w:sz w:val="18"/>
              </w:rPr>
              <w:t>Współpraca w ramach inicjatyw Komisji dotyczących przetwarzania w chmurze oraz innych inicjatyw związanych z budowaniem gospodarki opartej na danych w zakresie jednolitego rynku cyfrowego (jeżeli chodzi o usługi administracji), jak również zapewnianie niezbędnych zaleceń i specyfikacji dotyczących interoperacyjności z należytym uwzględnieniem komunikatu „Priorytety w normalizacji ICT na jednolitym rynku cyfrowym” (COM(2016) 176).</w:t>
            </w:r>
          </w:p>
        </w:tc>
        <w:tc>
          <w:tcPr>
            <w:tcW w:w="1150" w:type="dxa"/>
          </w:tcPr>
          <w:p>
            <w:pPr>
              <w:spacing w:line="312" w:lineRule="auto"/>
              <w:rPr>
                <w:rFonts w:ascii="Times New Roman" w:hAnsi="Times New Roman"/>
                <w:noProof/>
                <w:color w:val="000000"/>
                <w:sz w:val="18"/>
                <w:szCs w:val="16"/>
              </w:rPr>
            </w:pPr>
            <w:r>
              <w:rPr>
                <w:rFonts w:ascii="Times New Roman" w:hAnsi="Times New Roman"/>
                <w:noProof/>
                <w:color w:val="000000"/>
                <w:sz w:val="18"/>
              </w:rPr>
              <w:t>2018–2020</w:t>
            </w:r>
          </w:p>
        </w:tc>
        <w:tc>
          <w:tcPr>
            <w:tcW w:w="1768" w:type="dxa"/>
          </w:tcPr>
          <w:p>
            <w:pPr>
              <w:spacing w:line="312" w:lineRule="auto"/>
              <w:rPr>
                <w:rFonts w:ascii="Times New Roman" w:hAnsi="Times New Roman"/>
                <w:noProof/>
                <w:color w:val="000000"/>
                <w:sz w:val="18"/>
                <w:szCs w:val="16"/>
              </w:rPr>
            </w:pPr>
            <w:r>
              <w:rPr>
                <w:rFonts w:ascii="Times New Roman" w:hAnsi="Times New Roman"/>
                <w:noProof/>
                <w:color w:val="000000"/>
                <w:sz w:val="18"/>
              </w:rPr>
              <w:t>KE, PC</w:t>
            </w:r>
          </w:p>
        </w:tc>
      </w:tr>
      <w:tr>
        <w:trPr>
          <w:jc w:val="center"/>
        </w:trPr>
        <w:tc>
          <w:tcPr>
            <w:tcW w:w="9443" w:type="dxa"/>
            <w:gridSpan w:val="4"/>
            <w:shd w:val="clear" w:color="auto" w:fill="A6A6A6" w:themeFill="background1" w:themeFillShade="A6"/>
          </w:tcPr>
          <w:p>
            <w:pPr>
              <w:spacing w:line="312" w:lineRule="auto"/>
              <w:rPr>
                <w:rFonts w:ascii="Times New Roman" w:hAnsi="Times New Roman"/>
                <w:b/>
                <w:noProof/>
                <w:color w:val="FFFFFF"/>
                <w:sz w:val="18"/>
                <w:szCs w:val="16"/>
              </w:rPr>
            </w:pPr>
            <w:r>
              <w:rPr>
                <w:rFonts w:ascii="Times New Roman" w:hAnsi="Times New Roman"/>
                <w:b/>
                <w:noProof/>
                <w:color w:val="FFFFFF"/>
                <w:sz w:val="18"/>
              </w:rPr>
              <w:t>Obszar tematyczny 5: Opracowanie, utrzymywanie i promowanie instrumentów wspierających interoperacyjność</w:t>
            </w:r>
          </w:p>
        </w:tc>
      </w:tr>
      <w:tr>
        <w:trPr>
          <w:jc w:val="center"/>
        </w:trPr>
        <w:tc>
          <w:tcPr>
            <w:tcW w:w="2596" w:type="dxa"/>
            <w:vMerge w:val="restart"/>
          </w:tcPr>
          <w:p>
            <w:pPr>
              <w:spacing w:line="312" w:lineRule="auto"/>
              <w:rPr>
                <w:rFonts w:ascii="Times New Roman" w:hAnsi="Times New Roman"/>
                <w:noProof/>
                <w:color w:val="000000"/>
                <w:sz w:val="18"/>
                <w:szCs w:val="16"/>
              </w:rPr>
            </w:pPr>
            <w:r>
              <w:rPr>
                <w:rFonts w:ascii="Times New Roman" w:hAnsi="Times New Roman"/>
                <w:noProof/>
                <w:color w:val="000000"/>
                <w:sz w:val="18"/>
              </w:rPr>
              <w:t>Zdefiniowanie, rozwijanie, ulepszanie, zapewnienie działania, utrzymywanie i promowanie instrumentów, które wspierają wdrażanie, ocenę i monitorowanie działań związanych z interoperacyjnością.</w:t>
            </w:r>
          </w:p>
        </w:tc>
        <w:tc>
          <w:tcPr>
            <w:tcW w:w="3929" w:type="dxa"/>
          </w:tcPr>
          <w:p>
            <w:pPr>
              <w:numPr>
                <w:ilvl w:val="0"/>
                <w:numId w:val="20"/>
              </w:numPr>
              <w:spacing w:before="120" w:after="120" w:line="312" w:lineRule="auto"/>
              <w:ind w:left="318"/>
              <w:contextualSpacing/>
              <w:rPr>
                <w:rFonts w:ascii="Times New Roman" w:eastAsia="Arial" w:hAnsi="Times New Roman"/>
                <w:noProof/>
                <w:sz w:val="18"/>
                <w:szCs w:val="16"/>
              </w:rPr>
            </w:pPr>
            <w:r>
              <w:rPr>
                <w:rFonts w:ascii="Times New Roman" w:hAnsi="Times New Roman"/>
                <w:noProof/>
                <w:sz w:val="18"/>
              </w:rPr>
              <w:t>Opracowanie metody oceny możliwych skutków prawa dla obszaru ICT na poziomie unijnym lub, jeśli to możliwe, na poziomie krajowym; wskazanie przepisów szkodzących interoperacyjności (w tym analizy prawne); przeprowadzenie kontroli cyfrowych proponowanych lub istniejących przepisów i polityki; wspieranie działań ułatwiających przygotowywanie przepisów i zapewnianie ich spójności.</w:t>
            </w:r>
          </w:p>
        </w:tc>
        <w:tc>
          <w:tcPr>
            <w:tcW w:w="1150" w:type="dxa"/>
          </w:tcPr>
          <w:p>
            <w:pPr>
              <w:spacing w:line="312" w:lineRule="auto"/>
              <w:ind w:left="-43"/>
              <w:rPr>
                <w:rFonts w:ascii="Times New Roman" w:hAnsi="Times New Roman"/>
                <w:noProof/>
                <w:color w:val="000000"/>
                <w:sz w:val="18"/>
                <w:szCs w:val="16"/>
              </w:rPr>
            </w:pPr>
            <w:r>
              <w:rPr>
                <w:rFonts w:ascii="Times New Roman" w:hAnsi="Times New Roman"/>
                <w:noProof/>
                <w:color w:val="000000"/>
                <w:sz w:val="18"/>
              </w:rPr>
              <w:t>2017–2020</w:t>
            </w:r>
          </w:p>
        </w:tc>
        <w:tc>
          <w:tcPr>
            <w:tcW w:w="1768" w:type="dxa"/>
          </w:tcPr>
          <w:p>
            <w:pPr>
              <w:spacing w:line="312" w:lineRule="auto"/>
              <w:rPr>
                <w:rFonts w:ascii="Times New Roman" w:hAnsi="Times New Roman"/>
                <w:noProof/>
                <w:color w:val="000000"/>
                <w:sz w:val="18"/>
                <w:szCs w:val="16"/>
              </w:rPr>
            </w:pPr>
            <w:r>
              <w:rPr>
                <w:rFonts w:ascii="Times New Roman" w:hAnsi="Times New Roman"/>
                <w:noProof/>
                <w:color w:val="000000"/>
                <w:sz w:val="18"/>
              </w:rPr>
              <w:t>KE, PC</w:t>
            </w:r>
          </w:p>
        </w:tc>
      </w:tr>
      <w:tr>
        <w:trPr>
          <w:jc w:val="center"/>
        </w:trPr>
        <w:tc>
          <w:tcPr>
            <w:tcW w:w="2596" w:type="dxa"/>
            <w:vMerge/>
          </w:tcPr>
          <w:p>
            <w:pPr>
              <w:spacing w:line="312" w:lineRule="auto"/>
              <w:rPr>
                <w:rFonts w:ascii="Times New Roman" w:hAnsi="Times New Roman"/>
                <w:noProof/>
                <w:color w:val="000000"/>
                <w:sz w:val="18"/>
                <w:szCs w:val="16"/>
              </w:rPr>
            </w:pPr>
          </w:p>
        </w:tc>
        <w:tc>
          <w:tcPr>
            <w:tcW w:w="3929" w:type="dxa"/>
          </w:tcPr>
          <w:p>
            <w:pPr>
              <w:numPr>
                <w:ilvl w:val="0"/>
                <w:numId w:val="20"/>
              </w:numPr>
              <w:spacing w:before="120" w:after="120" w:line="312" w:lineRule="auto"/>
              <w:ind w:left="318"/>
              <w:contextualSpacing/>
              <w:rPr>
                <w:rFonts w:ascii="Times New Roman" w:eastAsia="Arial" w:hAnsi="Times New Roman"/>
                <w:noProof/>
                <w:sz w:val="18"/>
                <w:szCs w:val="16"/>
              </w:rPr>
            </w:pPr>
            <w:r>
              <w:rPr>
                <w:rFonts w:ascii="Times New Roman" w:hAnsi="Times New Roman"/>
                <w:noProof/>
                <w:sz w:val="18"/>
              </w:rPr>
              <w:t xml:space="preserve">Opracowanie, utrzymywanie i stosowanie mechanizmów i narzędzi służących do oceny ostatecznego ukształtowania interoperacyjności oraz wynikających z niej kosztów i korzyści. </w:t>
            </w:r>
          </w:p>
        </w:tc>
        <w:tc>
          <w:tcPr>
            <w:tcW w:w="1150" w:type="dxa"/>
          </w:tcPr>
          <w:p>
            <w:pPr>
              <w:spacing w:line="312" w:lineRule="auto"/>
              <w:ind w:left="-43"/>
              <w:rPr>
                <w:rFonts w:ascii="Times New Roman" w:hAnsi="Times New Roman"/>
                <w:noProof/>
                <w:color w:val="000000"/>
                <w:sz w:val="18"/>
                <w:szCs w:val="16"/>
              </w:rPr>
            </w:pPr>
            <w:r>
              <w:rPr>
                <w:rFonts w:ascii="Times New Roman" w:hAnsi="Times New Roman"/>
                <w:noProof/>
                <w:color w:val="000000"/>
                <w:sz w:val="18"/>
              </w:rPr>
              <w:t>2017–2020</w:t>
            </w:r>
          </w:p>
        </w:tc>
        <w:tc>
          <w:tcPr>
            <w:tcW w:w="1768" w:type="dxa"/>
          </w:tcPr>
          <w:p>
            <w:pPr>
              <w:spacing w:line="312" w:lineRule="auto"/>
              <w:rPr>
                <w:rFonts w:ascii="Times New Roman" w:hAnsi="Times New Roman"/>
                <w:noProof/>
                <w:color w:val="000000"/>
                <w:sz w:val="18"/>
                <w:szCs w:val="16"/>
              </w:rPr>
            </w:pPr>
            <w:r>
              <w:rPr>
                <w:rFonts w:ascii="Times New Roman" w:hAnsi="Times New Roman"/>
                <w:noProof/>
                <w:color w:val="000000"/>
                <w:sz w:val="18"/>
              </w:rPr>
              <w:t>KE, PC</w:t>
            </w:r>
          </w:p>
        </w:tc>
      </w:tr>
      <w:tr>
        <w:trPr>
          <w:jc w:val="center"/>
        </w:trPr>
        <w:tc>
          <w:tcPr>
            <w:tcW w:w="2596" w:type="dxa"/>
            <w:vMerge/>
          </w:tcPr>
          <w:p>
            <w:pPr>
              <w:spacing w:line="312" w:lineRule="auto"/>
              <w:rPr>
                <w:rFonts w:ascii="Times New Roman" w:hAnsi="Times New Roman"/>
                <w:noProof/>
                <w:color w:val="000000"/>
                <w:sz w:val="18"/>
                <w:szCs w:val="16"/>
              </w:rPr>
            </w:pPr>
          </w:p>
        </w:tc>
        <w:tc>
          <w:tcPr>
            <w:tcW w:w="3929" w:type="dxa"/>
          </w:tcPr>
          <w:p>
            <w:pPr>
              <w:numPr>
                <w:ilvl w:val="0"/>
                <w:numId w:val="20"/>
              </w:numPr>
              <w:spacing w:before="120" w:after="120" w:line="312" w:lineRule="auto"/>
              <w:ind w:left="318"/>
              <w:contextualSpacing/>
              <w:rPr>
                <w:rFonts w:ascii="Times New Roman" w:eastAsia="Arial" w:hAnsi="Times New Roman"/>
                <w:noProof/>
                <w:sz w:val="18"/>
                <w:szCs w:val="16"/>
              </w:rPr>
            </w:pPr>
            <w:r>
              <w:rPr>
                <w:rFonts w:ascii="Times New Roman" w:hAnsi="Times New Roman"/>
                <w:noProof/>
                <w:sz w:val="18"/>
              </w:rPr>
              <w:t>Utrzymywanie i promowanie „ram dzielenia się rozwiązaniami IT i ponownego wykorzystywania takich rozwiązań” (w tym otwartego oprogramowania) opracowanych w ramach programu ISA².</w:t>
            </w:r>
          </w:p>
        </w:tc>
        <w:tc>
          <w:tcPr>
            <w:tcW w:w="1150" w:type="dxa"/>
          </w:tcPr>
          <w:p>
            <w:pPr>
              <w:spacing w:line="312" w:lineRule="auto"/>
              <w:ind w:left="-43"/>
              <w:rPr>
                <w:rFonts w:ascii="Times New Roman" w:hAnsi="Times New Roman"/>
                <w:noProof/>
                <w:color w:val="000000"/>
                <w:sz w:val="18"/>
                <w:szCs w:val="16"/>
              </w:rPr>
            </w:pPr>
            <w:r>
              <w:rPr>
                <w:rFonts w:ascii="Times New Roman" w:hAnsi="Times New Roman"/>
                <w:noProof/>
                <w:color w:val="000000"/>
                <w:sz w:val="18"/>
              </w:rPr>
              <w:t>2017–2020</w:t>
            </w:r>
          </w:p>
        </w:tc>
        <w:tc>
          <w:tcPr>
            <w:tcW w:w="1768" w:type="dxa"/>
          </w:tcPr>
          <w:p>
            <w:pPr>
              <w:spacing w:line="312" w:lineRule="auto"/>
              <w:rPr>
                <w:rFonts w:ascii="Times New Roman" w:hAnsi="Times New Roman"/>
                <w:noProof/>
                <w:color w:val="000000"/>
                <w:sz w:val="18"/>
                <w:szCs w:val="16"/>
              </w:rPr>
            </w:pPr>
            <w:r>
              <w:rPr>
                <w:rFonts w:ascii="Times New Roman" w:hAnsi="Times New Roman"/>
                <w:noProof/>
                <w:color w:val="000000"/>
                <w:sz w:val="18"/>
              </w:rPr>
              <w:t>KE, PC</w:t>
            </w:r>
          </w:p>
        </w:tc>
      </w:tr>
      <w:tr>
        <w:trPr>
          <w:jc w:val="center"/>
        </w:trPr>
        <w:tc>
          <w:tcPr>
            <w:tcW w:w="2596" w:type="dxa"/>
            <w:vMerge/>
          </w:tcPr>
          <w:p>
            <w:pPr>
              <w:spacing w:line="312" w:lineRule="auto"/>
              <w:rPr>
                <w:rFonts w:ascii="Times New Roman" w:hAnsi="Times New Roman"/>
                <w:noProof/>
                <w:color w:val="000000"/>
                <w:sz w:val="18"/>
                <w:szCs w:val="16"/>
              </w:rPr>
            </w:pPr>
          </w:p>
        </w:tc>
        <w:tc>
          <w:tcPr>
            <w:tcW w:w="3929" w:type="dxa"/>
          </w:tcPr>
          <w:p>
            <w:pPr>
              <w:numPr>
                <w:ilvl w:val="0"/>
                <w:numId w:val="20"/>
              </w:numPr>
              <w:spacing w:before="120" w:after="120" w:line="312" w:lineRule="auto"/>
              <w:ind w:left="318"/>
              <w:contextualSpacing/>
              <w:rPr>
                <w:rFonts w:ascii="Times New Roman" w:eastAsia="Arial" w:hAnsi="Times New Roman"/>
                <w:noProof/>
                <w:sz w:val="18"/>
                <w:szCs w:val="16"/>
              </w:rPr>
            </w:pPr>
            <w:r>
              <w:rPr>
                <w:rFonts w:ascii="Times New Roman" w:hAnsi="Times New Roman"/>
                <w:noProof/>
                <w:sz w:val="18"/>
              </w:rPr>
              <w:t>Zapewnienie utrzymywania, ulepszania i promowania europejskiej referencyjnej architektury interoperacyjności (EIRA) oraz europejskiej kartografii interoperacyjności (EIC) jako instrumentów służących ułatwianiu ponownego wykorzystywania istniejących rozwiązań interoperacyjnych w wymiarze krajowym lub transgranicznym.</w:t>
            </w:r>
          </w:p>
        </w:tc>
        <w:tc>
          <w:tcPr>
            <w:tcW w:w="1150" w:type="dxa"/>
          </w:tcPr>
          <w:p>
            <w:pPr>
              <w:spacing w:line="312" w:lineRule="auto"/>
              <w:ind w:left="-43"/>
              <w:rPr>
                <w:rFonts w:ascii="Times New Roman" w:hAnsi="Times New Roman"/>
                <w:noProof/>
                <w:color w:val="000000"/>
                <w:sz w:val="18"/>
                <w:szCs w:val="16"/>
              </w:rPr>
            </w:pPr>
            <w:r>
              <w:rPr>
                <w:rFonts w:ascii="Times New Roman" w:hAnsi="Times New Roman"/>
                <w:noProof/>
                <w:color w:val="000000"/>
                <w:sz w:val="18"/>
              </w:rPr>
              <w:t>2017–2020</w:t>
            </w:r>
          </w:p>
        </w:tc>
        <w:tc>
          <w:tcPr>
            <w:tcW w:w="1768" w:type="dxa"/>
          </w:tcPr>
          <w:p>
            <w:pPr>
              <w:spacing w:line="312" w:lineRule="auto"/>
              <w:rPr>
                <w:rFonts w:ascii="Times New Roman" w:hAnsi="Times New Roman"/>
                <w:noProof/>
                <w:color w:val="000000"/>
                <w:sz w:val="18"/>
                <w:szCs w:val="16"/>
              </w:rPr>
            </w:pPr>
            <w:r>
              <w:rPr>
                <w:rFonts w:ascii="Times New Roman" w:hAnsi="Times New Roman"/>
                <w:noProof/>
                <w:color w:val="000000"/>
                <w:sz w:val="18"/>
              </w:rPr>
              <w:t>KE, PC</w:t>
            </w:r>
          </w:p>
          <w:p>
            <w:pPr>
              <w:spacing w:line="312" w:lineRule="auto"/>
              <w:rPr>
                <w:rFonts w:ascii="Times New Roman" w:hAnsi="Times New Roman"/>
                <w:noProof/>
                <w:color w:val="000000"/>
                <w:sz w:val="18"/>
                <w:szCs w:val="16"/>
              </w:rPr>
            </w:pPr>
          </w:p>
          <w:p>
            <w:pPr>
              <w:spacing w:line="312" w:lineRule="auto"/>
              <w:rPr>
                <w:rFonts w:ascii="Times New Roman" w:hAnsi="Times New Roman"/>
                <w:noProof/>
                <w:color w:val="000000"/>
                <w:sz w:val="18"/>
                <w:szCs w:val="16"/>
              </w:rPr>
            </w:pPr>
          </w:p>
        </w:tc>
      </w:tr>
    </w:tbl>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7" w:h="16839"/>
      <w:pgMar w:top="1134" w:right="1418" w:bottom="1134"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Gothic">
    <w:altName w:val="TradeGoth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311474"/>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5</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pPr>
      <w:r>
        <w:rPr>
          <w:rStyle w:val="FootnoteReference"/>
        </w:rPr>
        <w:footnoteRef/>
      </w:r>
      <w:r>
        <w:t xml:space="preserve"> Przyczyny wdrożenia interoperacyjności zostały wymienione w głównym tekście komunikatu. Nie ma jednoznacznej relacji między obszarami tematycznymi a głównymi przyczynami, niemniej jednak wszystkie przyczyny są uwzględnione przez jedno z proponowanych działań lub kombinację działań.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72548D4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DAA80E44"/>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D19498AA"/>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6B40EB36"/>
    <w:name w:val="0,503835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2D315A89"/>
    <w:multiLevelType w:val="multilevel"/>
    <w:tmpl w:val="9F9A5336"/>
    <w:styleLink w:val="NumbLstBTBullet"/>
    <w:lvl w:ilvl="0">
      <w:start w:val="1"/>
      <w:numFmt w:val="bullet"/>
      <w:pStyle w:val="BTBullet1"/>
      <w:lvlText w:val="■"/>
      <w:lvlJc w:val="left"/>
      <w:pPr>
        <w:tabs>
          <w:tab w:val="num" w:pos="1191"/>
        </w:tabs>
        <w:ind w:left="1191" w:hanging="340"/>
      </w:pPr>
      <w:rPr>
        <w:rFonts w:ascii="Arial" w:hAnsi="Arial" w:hint="default"/>
        <w:color w:val="0067AC"/>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9">
    <w:nsid w:val="417A14E6"/>
    <w:multiLevelType w:val="hybridMultilevel"/>
    <w:tmpl w:val="D2C4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504936E5"/>
    <w:multiLevelType w:val="multilevel"/>
    <w:tmpl w:val="9F9A5336"/>
    <w:numStyleLink w:val="NumbLstBTBullet"/>
  </w:abstractNum>
  <w:abstractNum w:abstractNumId="14">
    <w:nsid w:val="512C4D21"/>
    <w:multiLevelType w:val="hybridMultilevel"/>
    <w:tmpl w:val="587CEBC2"/>
    <w:lvl w:ilvl="0" w:tplc="223E3058">
      <w:start w:val="1"/>
      <w:numFmt w:val="decimal"/>
      <w:lvlText w:val="%1."/>
      <w:lvlJc w:val="left"/>
      <w:pPr>
        <w:ind w:left="4079" w:hanging="360"/>
      </w:pPr>
      <w:rPr>
        <w:rFonts w:ascii="Times New Roman" w:hAnsi="Times New Roman" w:cs="Times New Roman" w:hint="default"/>
      </w:rPr>
    </w:lvl>
    <w:lvl w:ilvl="1" w:tplc="08090019" w:tentative="1">
      <w:start w:val="1"/>
      <w:numFmt w:val="lowerLetter"/>
      <w:lvlText w:val="%2."/>
      <w:lvlJc w:val="left"/>
      <w:pPr>
        <w:ind w:left="4799" w:hanging="360"/>
      </w:pPr>
    </w:lvl>
    <w:lvl w:ilvl="2" w:tplc="0809001B" w:tentative="1">
      <w:start w:val="1"/>
      <w:numFmt w:val="lowerRoman"/>
      <w:lvlText w:val="%3."/>
      <w:lvlJc w:val="right"/>
      <w:pPr>
        <w:ind w:left="5519" w:hanging="180"/>
      </w:pPr>
    </w:lvl>
    <w:lvl w:ilvl="3" w:tplc="0809000F" w:tentative="1">
      <w:start w:val="1"/>
      <w:numFmt w:val="decimal"/>
      <w:lvlText w:val="%4."/>
      <w:lvlJc w:val="left"/>
      <w:pPr>
        <w:ind w:left="6239" w:hanging="360"/>
      </w:pPr>
    </w:lvl>
    <w:lvl w:ilvl="4" w:tplc="08090019" w:tentative="1">
      <w:start w:val="1"/>
      <w:numFmt w:val="lowerLetter"/>
      <w:lvlText w:val="%5."/>
      <w:lvlJc w:val="left"/>
      <w:pPr>
        <w:ind w:left="6959" w:hanging="360"/>
      </w:pPr>
    </w:lvl>
    <w:lvl w:ilvl="5" w:tplc="0809001B" w:tentative="1">
      <w:start w:val="1"/>
      <w:numFmt w:val="lowerRoman"/>
      <w:lvlText w:val="%6."/>
      <w:lvlJc w:val="right"/>
      <w:pPr>
        <w:ind w:left="7679" w:hanging="180"/>
      </w:pPr>
    </w:lvl>
    <w:lvl w:ilvl="6" w:tplc="0809000F" w:tentative="1">
      <w:start w:val="1"/>
      <w:numFmt w:val="decimal"/>
      <w:lvlText w:val="%7."/>
      <w:lvlJc w:val="left"/>
      <w:pPr>
        <w:ind w:left="8399" w:hanging="360"/>
      </w:pPr>
    </w:lvl>
    <w:lvl w:ilvl="7" w:tplc="08090019" w:tentative="1">
      <w:start w:val="1"/>
      <w:numFmt w:val="lowerLetter"/>
      <w:lvlText w:val="%8."/>
      <w:lvlJc w:val="left"/>
      <w:pPr>
        <w:ind w:left="9119" w:hanging="360"/>
      </w:pPr>
    </w:lvl>
    <w:lvl w:ilvl="8" w:tplc="0809001B" w:tentative="1">
      <w:start w:val="1"/>
      <w:numFmt w:val="lowerRoman"/>
      <w:lvlText w:val="%9."/>
      <w:lvlJc w:val="right"/>
      <w:pPr>
        <w:ind w:left="9839" w:hanging="180"/>
      </w:p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992"/>
        </w:tabs>
        <w:ind w:left="992" w:hanging="850"/>
      </w:pPr>
    </w:lvl>
  </w:abstractNum>
  <w:abstractNum w:abstractNumId="19">
    <w:nsid w:val="65DA35C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0"/>
  </w:num>
  <w:num w:numId="3">
    <w:abstractNumId w:val="20"/>
  </w:num>
  <w:num w:numId="4">
    <w:abstractNumId w:val="7"/>
  </w:num>
  <w:num w:numId="5">
    <w:abstractNumId w:val="11"/>
  </w:num>
  <w:num w:numId="6">
    <w:abstractNumId w:val="5"/>
  </w:num>
  <w:num w:numId="7">
    <w:abstractNumId w:val="4"/>
  </w:num>
  <w:num w:numId="8">
    <w:abstractNumId w:val="12"/>
  </w:num>
  <w:num w:numId="9">
    <w:abstractNumId w:val="16"/>
  </w:num>
  <w:num w:numId="10">
    <w:abstractNumId w:val="17"/>
  </w:num>
  <w:num w:numId="11">
    <w:abstractNumId w:val="6"/>
  </w:num>
  <w:num w:numId="12">
    <w:abstractNumId w:val="15"/>
  </w:num>
  <w:num w:numId="13">
    <w:abstractNumId w:val="21"/>
  </w:num>
  <w:num w:numId="14">
    <w:abstractNumId w:val="3"/>
  </w:num>
  <w:num w:numId="15">
    <w:abstractNumId w:val="2"/>
  </w:num>
  <w:num w:numId="16">
    <w:abstractNumId w:val="1"/>
  </w:num>
  <w:num w:numId="17">
    <w:abstractNumId w:val="0"/>
  </w:num>
  <w:num w:numId="18">
    <w:abstractNumId w:val="8"/>
  </w:num>
  <w:num w:numId="19">
    <w:abstractNumId w:val="13"/>
    <w:lvlOverride w:ilvl="0">
      <w:lvl w:ilvl="0">
        <w:start w:val="1"/>
        <w:numFmt w:val="bullet"/>
        <w:pStyle w:val="BTBullet1"/>
        <w:lvlText w:val="■"/>
        <w:lvlJc w:val="left"/>
        <w:pPr>
          <w:tabs>
            <w:tab w:val="num" w:pos="1191"/>
          </w:tabs>
          <w:ind w:left="1191" w:hanging="340"/>
        </w:pPr>
        <w:rPr>
          <w:rFonts w:ascii="Arial" w:hAnsi="Arial" w:hint="default"/>
          <w:color w:val="0067AC"/>
          <w:sz w:val="14"/>
        </w:rPr>
      </w:lvl>
    </w:lvlOverride>
  </w:num>
  <w:num w:numId="20">
    <w:abstractNumId w:val="14"/>
  </w:num>
  <w:num w:numId="21">
    <w:abstractNumId w:val="19"/>
  </w:num>
  <w:num w:numId="22">
    <w:abstractNumId w:val="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lt;UNUSED&gt;"/>
    <w:docVar w:name="LW_ANNEX_NBR_FIRST" w:val="1"/>
    <w:docVar w:name="LW_ANNEX_NBR_LAST" w:val="1"/>
    <w:docVar w:name="LW_CONFIDENCE" w:val=" "/>
    <w:docVar w:name="LW_CONST_RESTREINT_UE" w:val="RESTREINT UE"/>
    <w:docVar w:name="LW_CORRIGENDUM" w:val="&lt;UNUSED&gt;"/>
    <w:docVar w:name="LW_COVERPAGE_GUID" w:val="1728CC7A589941F89FF1E278A859C733"/>
    <w:docVar w:name="LW_CROSSREFERENCE" w:val="{SWD(2017) 112 final}_x000b_{SWD(2017) 113 final}"/>
    <w:docVar w:name="LW_DocType" w:val="NORMAL"/>
    <w:docVar w:name="LW_EMISSION" w:val="23.3.2017"/>
    <w:docVar w:name="LW_EMISSION_ISODATE" w:val="2017-03-23"/>
    <w:docVar w:name="LW_EMISSION_LOCATION" w:val="BRX"/>
    <w:docVar w:name="LW_EMISSION_PREFIX" w:val="Bruksela, dnia "/>
    <w:docVar w:name="LW_EMISSION_SUFFIX" w:val=" r."/>
    <w:docVar w:name="LW_ID_DOCTYPE_NONLW" w:val="CP-039"/>
    <w:docVar w:name="LW_LANGUE" w:val="PL"/>
    <w:docVar w:name="LW_MARKING" w:val="&lt;UNUSED&gt;"/>
    <w:docVar w:name="LW_NOM.INST" w:val="KOMISJA EUROPEJSKA"/>
    <w:docVar w:name="LW_NOM.INST_JOINTDOC" w:val="&lt;EMPTY&gt;"/>
    <w:docVar w:name="LW_OBJETACTEPRINCIPAL.CP" w:val="Plan dzia\u322?ania na rzecz operacyjno\u347?ci"/>
    <w:docVar w:name="LW_PART_NBR" w:val="1"/>
    <w:docVar w:name="LW_PART_NBR_TOTAL" w:val="1"/>
    <w:docVar w:name="LW_REF.INST.NEW" w:val="COM"/>
    <w:docVar w:name="LW_REF.INST.NEW_ADOPTED" w:val="final"/>
    <w:docVar w:name="LW_REF.INST.NEW_TEXT" w:val="(2017) 134"/>
    <w:docVar w:name="LW_REF.INTERNE" w:val="&lt;UNUSED&gt;"/>
    <w:docVar w:name="LW_SUPERTITRE" w:val="&lt;UNUSED&gt;"/>
    <w:docVar w:name="LW_TITRE.OBJ.CP" w:val=" do_x000b__x000b_KOMUNIKATU KOMISJI DO PARLAMENTU EUROPEJSKIEGO, RADY, EUROPEJSKIEGO KOMITETU EKONOMICZNO-SPO\u321?ECZNEGO I KOMITETU REGIONÓW"/>
    <w:docVar w:name="LW_TYPE.DOC.CP" w:val="ZA\u321?\u260?CZNIK_x000b_"/>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endnote reference" w:uiPriority="0"/>
    <w:lsdException w:name="List Bullet" w:uiPriority="0"/>
    <w:lsdException w:name="List Bullet 2" w:uiPriority="0"/>
    <w:lsdException w:name="List Bullet 3" w:uiPriority="29"/>
    <w:lsdException w:name="List Bullet 4"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21"/>
      </w:numPr>
      <w:spacing w:before="360" w:after="24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autoRedefine/>
    <w:uiPriority w:val="9"/>
    <w:qFormat/>
    <w:pPr>
      <w:keepNext/>
      <w:numPr>
        <w:ilvl w:val="1"/>
        <w:numId w:val="21"/>
      </w:numPr>
      <w:spacing w:before="240" w:after="24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21"/>
      </w:numPr>
      <w:spacing w:before="120" w:after="120" w:line="240" w:lineRule="auto"/>
      <w:jc w:val="both"/>
      <w:outlineLvl w:val="2"/>
    </w:pPr>
    <w:rPr>
      <w:rFonts w:ascii="Times New Roman" w:eastAsia="Times New Roman" w:hAnsi="Times New Roman" w:cs="Times New Roman"/>
      <w:b/>
      <w:bCs/>
      <w:sz w:val="24"/>
      <w:szCs w:val="26"/>
    </w:rPr>
  </w:style>
  <w:style w:type="paragraph" w:styleId="Heading4">
    <w:name w:val="heading 4"/>
    <w:basedOn w:val="Normal"/>
    <w:next w:val="Text1"/>
    <w:link w:val="Heading4Char"/>
    <w:qFormat/>
    <w:pPr>
      <w:keepNext/>
      <w:numPr>
        <w:ilvl w:val="3"/>
        <w:numId w:val="21"/>
      </w:numPr>
      <w:spacing w:before="120" w:after="120" w:line="240" w:lineRule="auto"/>
      <w:jc w:val="both"/>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uiPriority w:val="9"/>
    <w:semiHidden/>
    <w:unhideWhenUsed/>
    <w:qFormat/>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uiPriority w:val="9"/>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lang w:val="pl-PL"/>
    </w:rPr>
  </w:style>
  <w:style w:type="paragraph" w:styleId="FootnoteText">
    <w:name w:val="footnote text"/>
    <w:basedOn w:val="Normal"/>
    <w:uiPriority w:val="99"/>
    <w:qFormat/>
    <w:pPr>
      <w:tabs>
        <w:tab w:val="left" w:pos="0"/>
      </w:tabs>
      <w:spacing w:after="0" w:line="240" w:lineRule="auto"/>
    </w:pPr>
    <w:rPr>
      <w:rFonts w:ascii="Times New Roman" w:eastAsia="Times New Roman" w:hAnsi="Times New Roman" w:cs="Times New Roman"/>
      <w:sz w:val="16"/>
      <w:szCs w:val="20"/>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uiPriority w:val="99"/>
    <w:rPr>
      <w:rFonts w:ascii="Times New Roman" w:eastAsia="Times New Roman" w:hAnsi="Times New Roman" w:cs="Times New Roman"/>
      <w:sz w:val="16"/>
      <w:szCs w:val="20"/>
      <w:lang w:val="pl-PL"/>
    </w:rPr>
  </w:style>
  <w:style w:type="paragraph" w:styleId="TOC1">
    <w:name w:val="toc 1"/>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cs="Times New Roman"/>
      <w:noProof/>
      <w:sz w:val="24"/>
      <w:szCs w:val="24"/>
    </w:rPr>
  </w:style>
  <w:style w:type="paragraph" w:styleId="TOC2">
    <w:name w:val="toc 2"/>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FR, BVI f"/>
    <w:link w:val="FootnotesymbolCarZchn"/>
    <w:uiPriority w:val="99"/>
    <w:qFormat/>
    <w:rPr>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7"/>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7"/>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7"/>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7"/>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7"/>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7"/>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7"/>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7"/>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7"/>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8"/>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Considrant">
    <w:name w:val="Considérant"/>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14"/>
      </w:numPr>
      <w:spacing w:before="120" w:after="120" w:line="240" w:lineRule="auto"/>
      <w:contextualSpacing/>
      <w:jc w:val="both"/>
    </w:pPr>
    <w:rPr>
      <w:rFonts w:ascii="Times New Roman" w:eastAsia="Times New Roman" w:hAnsi="Times New Roman" w:cs="Times New Roman"/>
      <w:sz w:val="24"/>
      <w:szCs w:val="24"/>
    </w:rPr>
  </w:style>
  <w:style w:type="paragraph" w:styleId="ListBullet2">
    <w:name w:val="List Bullet 2"/>
    <w:basedOn w:val="Normal"/>
    <w:pPr>
      <w:numPr>
        <w:numId w:val="15"/>
      </w:numPr>
      <w:spacing w:before="120" w:after="120" w:line="240" w:lineRule="auto"/>
      <w:contextualSpacing/>
      <w:jc w:val="both"/>
    </w:pPr>
    <w:rPr>
      <w:rFonts w:ascii="Times New Roman" w:eastAsia="Times New Roman" w:hAnsi="Times New Roman" w:cs="Times New Roman"/>
      <w:sz w:val="24"/>
      <w:szCs w:val="24"/>
    </w:rPr>
  </w:style>
  <w:style w:type="paragraph" w:styleId="ListBullet3">
    <w:name w:val="List Bullet 3"/>
    <w:basedOn w:val="Normal"/>
    <w:uiPriority w:val="29"/>
    <w:pPr>
      <w:numPr>
        <w:numId w:val="16"/>
      </w:numPr>
      <w:spacing w:before="120" w:after="120" w:line="240" w:lineRule="auto"/>
      <w:contextualSpacing/>
      <w:jc w:val="both"/>
    </w:pPr>
    <w:rPr>
      <w:rFonts w:ascii="Times New Roman" w:eastAsia="Times New Roman" w:hAnsi="Times New Roman" w:cs="Times New Roman"/>
      <w:sz w:val="24"/>
      <w:szCs w:val="24"/>
    </w:rPr>
  </w:style>
  <w:style w:type="paragraph" w:styleId="ListBullet4">
    <w:name w:val="List Bullet 4"/>
    <w:basedOn w:val="Normal"/>
    <w:pPr>
      <w:numPr>
        <w:numId w:val="17"/>
      </w:numPr>
      <w:spacing w:before="120" w:after="120" w:line="240" w:lineRule="auto"/>
      <w:contextualSpacing/>
      <w:jc w:val="both"/>
    </w:pPr>
    <w:rPr>
      <w:rFonts w:ascii="Times New Roman" w:eastAsia="Times New Roman" w:hAnsi="Times New Roman" w:cs="Times New Roman"/>
      <w:sz w:val="24"/>
      <w:szCs w:val="24"/>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standard3520normal">
    <w:name w:val="a_standard__35__20_normal"/>
    <w:basedOn w:val="Normal"/>
    <w:pPr>
      <w:spacing w:after="120" w:line="240" w:lineRule="auto"/>
      <w:ind w:right="57"/>
      <w:jc w:val="both"/>
    </w:pPr>
    <w:rPr>
      <w:rFonts w:ascii="Times New Roman" w:eastAsia="Times New Roman" w:hAnsi="Times New Roman" w:cs="Times New Roman"/>
      <w:b/>
      <w:bCs/>
      <w:sz w:val="24"/>
      <w:szCs w:val="24"/>
    </w:rPr>
  </w:style>
  <w:style w:type="character" w:customStyle="1" w:styleId="at21">
    <w:name w:val="a__t21"/>
    <w:rPr>
      <w:b w:val="0"/>
      <w:bCs w:val="0"/>
    </w:rPr>
  </w:style>
  <w:style w:type="character" w:customStyle="1" w:styleId="at12">
    <w:name w:val="a__t12"/>
    <w:rPr>
      <w:b w:val="0"/>
      <w:bCs w:val="0"/>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pl-P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l-PL"/>
    </w:rPr>
  </w:style>
  <w:style w:type="paragraph" w:styleId="BalloonText">
    <w:name w:val="Balloon Text"/>
    <w:basedOn w:val="Normal"/>
    <w:link w:val="BalloonTextChar"/>
    <w:pPr>
      <w:spacing w:after="0" w:line="240" w:lineRule="auto"/>
      <w:jc w:val="both"/>
    </w:pPr>
    <w:rPr>
      <w:rFonts w:ascii="Tahoma" w:eastAsia="Times New Roman" w:hAnsi="Tahoma" w:cs="Times New Roman"/>
      <w:sz w:val="16"/>
      <w:szCs w:val="16"/>
    </w:rPr>
  </w:style>
  <w:style w:type="character" w:customStyle="1" w:styleId="BalloonTextChar">
    <w:name w:val="Balloon Text Char"/>
    <w:basedOn w:val="DefaultParagraphFont"/>
    <w:link w:val="BalloonText"/>
    <w:rPr>
      <w:rFonts w:ascii="Tahoma" w:eastAsia="Times New Roman" w:hAnsi="Tahoma" w:cs="Times New Roman"/>
      <w:sz w:val="16"/>
      <w:szCs w:val="16"/>
      <w:lang w:val="pl-PL"/>
    </w:rPr>
  </w:style>
  <w:style w:type="paragraph" w:customStyle="1" w:styleId="Headinsh2">
    <w:name w:val="Headinsh 2"/>
    <w:basedOn w:val="Text1"/>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paragraph" w:styleId="ListParagraph">
    <w:name w:val="List Paragraph"/>
    <w:aliases w:val="List Paragraph_Sections,1st level - Bullet List Paragraph,Lettre d'introduction,Paragrafo elenco,List Paragraph1,Medium Grid 1 - Accent 21"/>
    <w:basedOn w:val="Normal"/>
    <w:link w:val="ListParagraphChar"/>
    <w:uiPriority w:val="34"/>
    <w:qFormat/>
    <w:pPr>
      <w:spacing w:before="120" w:after="120" w:line="240" w:lineRule="auto"/>
      <w:ind w:left="708"/>
      <w:jc w:val="both"/>
    </w:pPr>
    <w:rPr>
      <w:rFonts w:ascii="Times New Roman" w:eastAsia="Times New Roman" w:hAnsi="Times New Roman" w:cs="Times New Roman"/>
      <w:sz w:val="24"/>
      <w:szCs w:val="24"/>
    </w:rPr>
  </w:style>
  <w:style w:type="character" w:styleId="FollowedHyperlink">
    <w:name w:val="FollowedHyperlink"/>
    <w:rPr>
      <w:color w:val="800080"/>
      <w:u w:val="single"/>
    </w:rPr>
  </w:style>
  <w:style w:type="paragraph" w:customStyle="1" w:styleId="Headig4">
    <w:name w:val="Headig 4"/>
    <w:basedOn w:val="Normal"/>
    <w:pPr>
      <w:autoSpaceDE w:val="0"/>
      <w:autoSpaceDN w:val="0"/>
      <w:adjustRightInd w:val="0"/>
      <w:spacing w:after="166" w:line="240" w:lineRule="auto"/>
      <w:jc w:val="both"/>
    </w:pPr>
    <w:rPr>
      <w:rFonts w:ascii="Times New Roman" w:eastAsia="Times New Roman" w:hAnsi="Times New Roman" w:cs="Times New Roman"/>
      <w:b/>
      <w:sz w:val="24"/>
      <w:szCs w:val="24"/>
    </w:rPr>
  </w:style>
  <w:style w:type="character" w:styleId="HTMLCite">
    <w:name w:val="HTML Cite"/>
    <w:uiPriority w:val="99"/>
    <w:unhideWhenUsed/>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ates1">
    <w:name w:val="t-dates1"/>
    <w:rPr>
      <w:color w:val="414141"/>
    </w:rPr>
  </w:style>
  <w:style w:type="character" w:customStyle="1" w:styleId="FootnoteCharacters">
    <w:name w:val="Footnote Characters"/>
    <w:rPr>
      <w:rFonts w:cs="Times New Roman"/>
      <w:vertAlign w:val="superscript"/>
    </w:rPr>
  </w:style>
  <w:style w:type="character" w:customStyle="1" w:styleId="Odwoanieprzypisudolnego2">
    <w:name w:val="Odwołanie przypisu dolnego2"/>
    <w:rPr>
      <w:vertAlign w:val="superscript"/>
    </w:rPr>
  </w:style>
  <w:style w:type="paragraph" w:styleId="EndnoteText">
    <w:name w:val="endnote text"/>
    <w:basedOn w:val="Normal"/>
    <w:link w:val="EndnoteTextChar1"/>
    <w:uiPriority w:val="99"/>
    <w:unhideWhenUsed/>
    <w:pPr>
      <w:spacing w:after="0" w:line="240" w:lineRule="auto"/>
      <w:jc w:val="both"/>
    </w:pPr>
    <w:rPr>
      <w:rFonts w:ascii="Times New Roman" w:eastAsia="Calibri" w:hAnsi="Times New Roman" w:cs="Times New Roman"/>
      <w:sz w:val="20"/>
      <w:szCs w:val="20"/>
    </w:rPr>
  </w:style>
  <w:style w:type="character" w:customStyle="1" w:styleId="EndnoteTextChar">
    <w:name w:val="Endnote Text Char"/>
    <w:basedOn w:val="DefaultParagraphFont"/>
    <w:rPr>
      <w:sz w:val="20"/>
      <w:szCs w:val="20"/>
    </w:rPr>
  </w:style>
  <w:style w:type="character" w:customStyle="1" w:styleId="A7">
    <w:name w:val="A7"/>
    <w:uiPriority w:val="99"/>
    <w:rPr>
      <w:rFonts w:ascii="TradeGothic" w:hAnsi="TradeGothic" w:cs="TradeGothic" w:hint="default"/>
      <w:color w:val="000000"/>
      <w:sz w:val="17"/>
      <w:szCs w:val="17"/>
    </w:rPr>
  </w:style>
  <w:style w:type="character" w:customStyle="1" w:styleId="EndnoteTextChar1">
    <w:name w:val="Endnote Text Char1"/>
    <w:link w:val="EndnoteText"/>
    <w:uiPriority w:val="99"/>
    <w:locked/>
    <w:rPr>
      <w:rFonts w:ascii="Times New Roman" w:eastAsia="Calibri" w:hAnsi="Times New Roman" w:cs="Times New Roman"/>
      <w:sz w:val="20"/>
      <w:szCs w:val="20"/>
      <w:lang w:val="pl-PL" w:eastAsia="pl-PL"/>
    </w:rPr>
  </w:style>
  <w:style w:type="paragraph" w:customStyle="1" w:styleId="Heaing2">
    <w:name w:val="Heaing 2"/>
    <w:basedOn w:val="Heading3"/>
    <w:rPr>
      <w:b w:val="0"/>
      <w:i/>
    </w:rPr>
  </w:style>
  <w:style w:type="paragraph" w:customStyle="1" w:styleId="Headung3">
    <w:name w:val="Headung 3"/>
    <w:basedOn w:val="Normal"/>
    <w:rPr>
      <w:rFonts w:ascii="Times New Roman" w:eastAsia="Calibri" w:hAnsi="Times New Roman" w:cs="Times New Roman"/>
      <w:color w:val="000000"/>
      <w:sz w:val="24"/>
      <w:szCs w:val="24"/>
    </w:rPr>
  </w:style>
  <w:style w:type="paragraph" w:customStyle="1" w:styleId="ZDGName">
    <w:name w:val="Z_DGName"/>
    <w:basedOn w:val="Normal"/>
    <w:pPr>
      <w:widowControl w:val="0"/>
      <w:autoSpaceDE w:val="0"/>
      <w:autoSpaceDN w:val="0"/>
      <w:spacing w:after="0" w:line="240" w:lineRule="auto"/>
      <w:ind w:right="85"/>
    </w:pPr>
    <w:rPr>
      <w:rFonts w:ascii="Arial" w:eastAsia="Times New Roman" w:hAnsi="Arial" w:cs="Arial"/>
      <w:sz w:val="16"/>
      <w:szCs w:val="16"/>
    </w:rPr>
  </w:style>
  <w:style w:type="paragraph" w:customStyle="1" w:styleId="BTBullet1">
    <w:name w:val="BTBullet1"/>
    <w:basedOn w:val="Normal"/>
    <w:uiPriority w:val="6"/>
    <w:qFormat/>
    <w:pPr>
      <w:numPr>
        <w:numId w:val="19"/>
      </w:numPr>
      <w:spacing w:after="0" w:line="240" w:lineRule="atLeast"/>
    </w:pPr>
    <w:rPr>
      <w:rFonts w:ascii="Arial" w:eastAsia="Calibri" w:hAnsi="Arial" w:cs="Times New Roman"/>
      <w:sz w:val="20"/>
      <w:szCs w:val="24"/>
    </w:rPr>
  </w:style>
  <w:style w:type="paragraph" w:customStyle="1" w:styleId="BTBullet2">
    <w:name w:val="BTBullet2"/>
    <w:basedOn w:val="Normal"/>
    <w:uiPriority w:val="6"/>
    <w:qFormat/>
    <w:pPr>
      <w:numPr>
        <w:ilvl w:val="1"/>
        <w:numId w:val="19"/>
      </w:numPr>
      <w:spacing w:after="0" w:line="240" w:lineRule="atLeast"/>
    </w:pPr>
    <w:rPr>
      <w:rFonts w:ascii="Arial" w:eastAsia="Calibri" w:hAnsi="Arial" w:cs="Times New Roman"/>
      <w:sz w:val="20"/>
      <w:szCs w:val="24"/>
    </w:rPr>
  </w:style>
  <w:style w:type="paragraph" w:customStyle="1" w:styleId="BTBullet3">
    <w:name w:val="BTBullet3"/>
    <w:basedOn w:val="Normal"/>
    <w:uiPriority w:val="6"/>
    <w:qFormat/>
    <w:pPr>
      <w:numPr>
        <w:ilvl w:val="2"/>
        <w:numId w:val="19"/>
      </w:numPr>
      <w:spacing w:after="0" w:line="240" w:lineRule="atLeast"/>
    </w:pPr>
    <w:rPr>
      <w:rFonts w:ascii="Arial" w:eastAsia="Calibri" w:hAnsi="Arial" w:cs="Times New Roman"/>
      <w:sz w:val="20"/>
      <w:szCs w:val="24"/>
    </w:rPr>
  </w:style>
  <w:style w:type="numbering" w:customStyle="1" w:styleId="NumbLstBTBullet">
    <w:name w:val="NumbLstBTBullet"/>
    <w:uiPriority w:val="99"/>
    <w:pPr>
      <w:numPr>
        <w:numId w:val="18"/>
      </w:numPr>
    </w:p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rPr>
      <w:vertAlign w:val="superscript"/>
    </w:rPr>
  </w:style>
  <w:style w:type="paragraph" w:styleId="Caption">
    <w:name w:val="caption"/>
    <w:aliases w:val="Char Char Char,Char Char Char Char Char Char,Char Char Char Char,Char Char Char Char Char,Caption Char1,Char Char Char Char1,Char Char Char Char Char Char1,Char Char Char Char Char1 Char Char,topic,CaptionTLS,CaptionCFMU,figura,RptCaption"/>
    <w:basedOn w:val="Normal"/>
    <w:next w:val="Normal"/>
    <w:link w:val="CaptionChar"/>
    <w:uiPriority w:val="35"/>
    <w:unhideWhenUsed/>
    <w:qFormat/>
    <w:pPr>
      <w:keepNext/>
      <w:keepLines/>
      <w:widowControl w:val="0"/>
      <w:spacing w:before="240" w:after="120" w:line="360" w:lineRule="auto"/>
      <w:contextualSpacing/>
      <w:jc w:val="center"/>
    </w:pPr>
    <w:rPr>
      <w:rFonts w:eastAsia="Times New Roman" w:cstheme="minorHAnsi"/>
      <w:b/>
      <w:bCs/>
      <w:color w:val="002060"/>
      <w:sz w:val="18"/>
      <w:szCs w:val="18"/>
    </w:rPr>
  </w:style>
  <w:style w:type="table" w:customStyle="1" w:styleId="EuropeanCommissionstyle">
    <w:name w:val="European Commission style"/>
    <w:basedOn w:val="TableNormal"/>
    <w:uiPriority w:val="99"/>
    <w:pPr>
      <w:spacing w:after="0" w:line="240" w:lineRule="auto"/>
    </w:pPr>
    <w:rPr>
      <w:rFonts w:ascii="Verdana" w:eastAsia="Times New Roman" w:hAnsi="Verdana" w:cs="Times New Roman"/>
      <w:sz w:val="12"/>
      <w:szCs w:val="20"/>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rPr>
      <w:cantSplit/>
    </w:trPr>
    <w:tcPr>
      <w:shd w:val="clear" w:color="auto" w:fill="F2F2F2" w:themeFill="background1" w:themeFillShade="F2"/>
    </w:tcPr>
    <w:tblStylePr w:type="firstRow">
      <w:rPr>
        <w:rFonts w:ascii="Verdana" w:hAnsi="Verdana"/>
        <w:b/>
        <w:color w:val="FFFFFF" w:themeColor="background1"/>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character" w:customStyle="1" w:styleId="CaptionChar">
    <w:name w:val="Caption Char"/>
    <w:aliases w:val="Char Char Char Char2,Char Char Char Char Char Char Char,Char Char Char Char Char1,Char Char Char Char Char Char2,Caption Char1 Char,Char Char Char Char1 Char,Char Char Char Char Char Char1 Char,Char Char Char Char Char1 Char Char Char"/>
    <w:link w:val="Caption"/>
    <w:uiPriority w:val="35"/>
    <w:locked/>
    <w:rPr>
      <w:rFonts w:eastAsia="Times New Roman" w:cstheme="minorHAnsi"/>
      <w:b/>
      <w:bCs/>
      <w:color w:val="002060"/>
      <w:sz w:val="18"/>
      <w:szCs w:val="18"/>
      <w:lang w:eastAsia="pl-PL"/>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MAINPARAGRAPH">
    <w:name w:val="MAIN PARAGRAPH"/>
    <w:basedOn w:val="Normal"/>
    <w:link w:val="MAINPARAGRAPHChar"/>
    <w:qFormat/>
    <w:pPr>
      <w:spacing w:before="120" w:after="120" w:line="360" w:lineRule="auto"/>
      <w:jc w:val="both"/>
    </w:pPr>
    <w:rPr>
      <w:rFonts w:ascii="Arial" w:eastAsia="Times New Roman" w:hAnsi="Arial" w:cs="Times New Roman"/>
      <w:color w:val="000000" w:themeColor="text1"/>
      <w:sz w:val="19"/>
      <w:szCs w:val="19"/>
    </w:rPr>
  </w:style>
  <w:style w:type="character" w:customStyle="1" w:styleId="MAINPARAGRAPHChar">
    <w:name w:val="MAIN PARAGRAPH Char"/>
    <w:basedOn w:val="DefaultParagraphFont"/>
    <w:link w:val="MAINPARAGRAPH"/>
    <w:rPr>
      <w:rFonts w:ascii="Arial" w:eastAsia="Times New Roman" w:hAnsi="Arial" w:cs="Times New Roman"/>
      <w:color w:val="000000" w:themeColor="text1"/>
      <w:sz w:val="19"/>
      <w:szCs w:val="19"/>
      <w:lang w:eastAsia="pl-PL"/>
    </w:rPr>
  </w:style>
  <w:style w:type="character" w:styleId="Strong">
    <w:name w:val="Strong"/>
    <w:basedOn w:val="DefaultParagraphFont"/>
    <w:uiPriority w:val="22"/>
    <w:qFormat/>
    <w:rPr>
      <w:rFonts w:ascii="Times New Roman" w:hAnsi="Times New Roman" w:cs="Times New Roman" w:hint="default"/>
      <w:b/>
      <w:bCs/>
    </w:rPr>
  </w:style>
  <w:style w:type="table" w:styleId="LightShading-Accent5">
    <w:name w:val="Light Shading Accent 5"/>
    <w:basedOn w:val="TableNormal"/>
    <w:uiPriority w:val="6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Corpsdutexte">
    <w:name w:val="Corps du texte_"/>
    <w:basedOn w:val="DefaultParagraphFont"/>
    <w:link w:val="Corpsdutexte0"/>
    <w:rPr>
      <w:shd w:val="clear" w:color="auto" w:fill="FFFFFF"/>
    </w:rPr>
  </w:style>
  <w:style w:type="paragraph" w:customStyle="1" w:styleId="Corpsdutexte0">
    <w:name w:val="Corps du texte"/>
    <w:basedOn w:val="Normal"/>
    <w:link w:val="Corpsdutexte"/>
    <w:pPr>
      <w:widowControl w:val="0"/>
      <w:shd w:val="clear" w:color="auto" w:fill="FFFFFF"/>
      <w:spacing w:after="0" w:line="0" w:lineRule="atLeast"/>
    </w:pPr>
  </w:style>
  <w:style w:type="table" w:customStyle="1" w:styleId="LightShading-Accent51">
    <w:name w:val="Light Shading - Accent 51"/>
    <w:basedOn w:val="TableNormal"/>
    <w:next w:val="LightShading-Accent5"/>
    <w:uiPriority w:val="6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eGrid4">
    <w:name w:val="Table Grid4"/>
    <w:basedOn w:val="TableNormal"/>
    <w:next w:val="TableGrid"/>
    <w:uiPriority w:val="5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_Sections Char,1st level - Bullet List Paragraph Char,Lettre d'introduction Char,Paragrafo elenco Char,List Paragraph1 Char,Medium Grid 1 - Accent 21 Char"/>
    <w:basedOn w:val="DefaultParagraphFont"/>
    <w:link w:val="ListParagraph"/>
    <w:uiPriority w:val="34"/>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qFormat/>
    <w:pPr>
      <w:numPr>
        <w:ilvl w:val="1"/>
      </w:numPr>
      <w:spacing w:before="120" w:after="160" w:line="240" w:lineRule="auto"/>
      <w:jc w:val="both"/>
    </w:pPr>
    <w:rPr>
      <w:rFonts w:eastAsiaTheme="minorEastAsia"/>
      <w:color w:val="5A5A5A" w:themeColor="text1" w:themeTint="A5"/>
      <w:spacing w:val="15"/>
    </w:rPr>
  </w:style>
  <w:style w:type="character" w:customStyle="1" w:styleId="SubtitleChar">
    <w:name w:val="Subtitle Char"/>
    <w:basedOn w:val="DefaultParagraphFont"/>
    <w:link w:val="Subtitle"/>
    <w:rPr>
      <w:rFonts w:eastAsiaTheme="minorEastAsia"/>
      <w:color w:val="5A5A5A" w:themeColor="text1" w:themeTint="A5"/>
      <w:spacing w:val="15"/>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styleId="IntenseEmphasis">
    <w:name w:val="Intense Emphasis"/>
    <w:basedOn w:val="DefaultParagraphFont"/>
    <w:uiPriority w:val="21"/>
    <w:qFormat/>
    <w:rPr>
      <w:i/>
      <w:iCs/>
      <w:color w:val="4F81BD" w:themeColor="accent1"/>
    </w:rPr>
  </w:style>
  <w:style w:type="paragraph" w:styleId="TableofFigures">
    <w:name w:val="table of figures"/>
    <w:basedOn w:val="Normal"/>
    <w:next w:val="Normal"/>
    <w:uiPriority w:val="99"/>
    <w:unhideWhenUsed/>
    <w:pPr>
      <w:spacing w:after="0"/>
    </w:pPr>
  </w:style>
  <w:style w:type="table" w:customStyle="1" w:styleId="EuropeanCommissionstyle1">
    <w:name w:val="European Commission style1"/>
    <w:basedOn w:val="TableNormal"/>
    <w:uiPriority w:val="99"/>
    <w:pPr>
      <w:spacing w:after="0" w:line="240" w:lineRule="auto"/>
    </w:pPr>
    <w:rPr>
      <w:rFonts w:ascii="Verdana" w:eastAsia="Times New Roman" w:hAnsi="Verdana" w:cs="Times New Roman"/>
      <w:sz w:val="12"/>
      <w:szCs w:val="20"/>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rPr>
      <w:cantSplit/>
    </w:trPr>
    <w:tcPr>
      <w:shd w:val="clear" w:color="auto" w:fill="F2F2F2"/>
    </w:tcPr>
    <w:tblStylePr w:type="firstRow">
      <w:rPr>
        <w:rFonts w:ascii="Times" w:hAnsi="Times"/>
        <w:b/>
        <w:color w:val="FFFFFF"/>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endnote reference" w:uiPriority="0"/>
    <w:lsdException w:name="List Bullet" w:uiPriority="0"/>
    <w:lsdException w:name="List Bullet 2" w:uiPriority="0"/>
    <w:lsdException w:name="List Bullet 3" w:uiPriority="29"/>
    <w:lsdException w:name="List Bullet 4"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21"/>
      </w:numPr>
      <w:spacing w:before="360" w:after="24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autoRedefine/>
    <w:uiPriority w:val="9"/>
    <w:qFormat/>
    <w:pPr>
      <w:keepNext/>
      <w:numPr>
        <w:ilvl w:val="1"/>
        <w:numId w:val="21"/>
      </w:numPr>
      <w:spacing w:before="240" w:after="24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21"/>
      </w:numPr>
      <w:spacing w:before="120" w:after="120" w:line="240" w:lineRule="auto"/>
      <w:jc w:val="both"/>
      <w:outlineLvl w:val="2"/>
    </w:pPr>
    <w:rPr>
      <w:rFonts w:ascii="Times New Roman" w:eastAsia="Times New Roman" w:hAnsi="Times New Roman" w:cs="Times New Roman"/>
      <w:b/>
      <w:bCs/>
      <w:sz w:val="24"/>
      <w:szCs w:val="26"/>
    </w:rPr>
  </w:style>
  <w:style w:type="paragraph" w:styleId="Heading4">
    <w:name w:val="heading 4"/>
    <w:basedOn w:val="Normal"/>
    <w:next w:val="Text1"/>
    <w:link w:val="Heading4Char"/>
    <w:qFormat/>
    <w:pPr>
      <w:keepNext/>
      <w:numPr>
        <w:ilvl w:val="3"/>
        <w:numId w:val="21"/>
      </w:numPr>
      <w:spacing w:before="120" w:after="120" w:line="240" w:lineRule="auto"/>
      <w:jc w:val="both"/>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uiPriority w:val="9"/>
    <w:semiHidden/>
    <w:unhideWhenUsed/>
    <w:qFormat/>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uiPriority w:val="9"/>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lang w:val="pl-PL"/>
    </w:rPr>
  </w:style>
  <w:style w:type="paragraph" w:styleId="FootnoteText">
    <w:name w:val="footnote text"/>
    <w:basedOn w:val="Normal"/>
    <w:uiPriority w:val="99"/>
    <w:qFormat/>
    <w:pPr>
      <w:tabs>
        <w:tab w:val="left" w:pos="0"/>
      </w:tabs>
      <w:spacing w:after="0" w:line="240" w:lineRule="auto"/>
    </w:pPr>
    <w:rPr>
      <w:rFonts w:ascii="Times New Roman" w:eastAsia="Times New Roman" w:hAnsi="Times New Roman" w:cs="Times New Roman"/>
      <w:sz w:val="16"/>
      <w:szCs w:val="20"/>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uiPriority w:val="99"/>
    <w:rPr>
      <w:rFonts w:ascii="Times New Roman" w:eastAsia="Times New Roman" w:hAnsi="Times New Roman" w:cs="Times New Roman"/>
      <w:sz w:val="16"/>
      <w:szCs w:val="20"/>
      <w:lang w:val="pl-PL"/>
    </w:rPr>
  </w:style>
  <w:style w:type="paragraph" w:styleId="TOC1">
    <w:name w:val="toc 1"/>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cs="Times New Roman"/>
      <w:noProof/>
      <w:sz w:val="24"/>
      <w:szCs w:val="24"/>
    </w:rPr>
  </w:style>
  <w:style w:type="paragraph" w:styleId="TOC2">
    <w:name w:val="toc 2"/>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FR, BVI f"/>
    <w:link w:val="FootnotesymbolCarZchn"/>
    <w:uiPriority w:val="99"/>
    <w:qFormat/>
    <w:rPr>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7"/>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7"/>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7"/>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7"/>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7"/>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7"/>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7"/>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7"/>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7"/>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8"/>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Considrant">
    <w:name w:val="Considérant"/>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14"/>
      </w:numPr>
      <w:spacing w:before="120" w:after="120" w:line="240" w:lineRule="auto"/>
      <w:contextualSpacing/>
      <w:jc w:val="both"/>
    </w:pPr>
    <w:rPr>
      <w:rFonts w:ascii="Times New Roman" w:eastAsia="Times New Roman" w:hAnsi="Times New Roman" w:cs="Times New Roman"/>
      <w:sz w:val="24"/>
      <w:szCs w:val="24"/>
    </w:rPr>
  </w:style>
  <w:style w:type="paragraph" w:styleId="ListBullet2">
    <w:name w:val="List Bullet 2"/>
    <w:basedOn w:val="Normal"/>
    <w:pPr>
      <w:numPr>
        <w:numId w:val="15"/>
      </w:numPr>
      <w:spacing w:before="120" w:after="120" w:line="240" w:lineRule="auto"/>
      <w:contextualSpacing/>
      <w:jc w:val="both"/>
    </w:pPr>
    <w:rPr>
      <w:rFonts w:ascii="Times New Roman" w:eastAsia="Times New Roman" w:hAnsi="Times New Roman" w:cs="Times New Roman"/>
      <w:sz w:val="24"/>
      <w:szCs w:val="24"/>
    </w:rPr>
  </w:style>
  <w:style w:type="paragraph" w:styleId="ListBullet3">
    <w:name w:val="List Bullet 3"/>
    <w:basedOn w:val="Normal"/>
    <w:uiPriority w:val="29"/>
    <w:pPr>
      <w:numPr>
        <w:numId w:val="16"/>
      </w:numPr>
      <w:spacing w:before="120" w:after="120" w:line="240" w:lineRule="auto"/>
      <w:contextualSpacing/>
      <w:jc w:val="both"/>
    </w:pPr>
    <w:rPr>
      <w:rFonts w:ascii="Times New Roman" w:eastAsia="Times New Roman" w:hAnsi="Times New Roman" w:cs="Times New Roman"/>
      <w:sz w:val="24"/>
      <w:szCs w:val="24"/>
    </w:rPr>
  </w:style>
  <w:style w:type="paragraph" w:styleId="ListBullet4">
    <w:name w:val="List Bullet 4"/>
    <w:basedOn w:val="Normal"/>
    <w:pPr>
      <w:numPr>
        <w:numId w:val="17"/>
      </w:numPr>
      <w:spacing w:before="120" w:after="120" w:line="240" w:lineRule="auto"/>
      <w:contextualSpacing/>
      <w:jc w:val="both"/>
    </w:pPr>
    <w:rPr>
      <w:rFonts w:ascii="Times New Roman" w:eastAsia="Times New Roman" w:hAnsi="Times New Roman" w:cs="Times New Roman"/>
      <w:sz w:val="24"/>
      <w:szCs w:val="24"/>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standard3520normal">
    <w:name w:val="a_standard__35__20_normal"/>
    <w:basedOn w:val="Normal"/>
    <w:pPr>
      <w:spacing w:after="120" w:line="240" w:lineRule="auto"/>
      <w:ind w:right="57"/>
      <w:jc w:val="both"/>
    </w:pPr>
    <w:rPr>
      <w:rFonts w:ascii="Times New Roman" w:eastAsia="Times New Roman" w:hAnsi="Times New Roman" w:cs="Times New Roman"/>
      <w:b/>
      <w:bCs/>
      <w:sz w:val="24"/>
      <w:szCs w:val="24"/>
    </w:rPr>
  </w:style>
  <w:style w:type="character" w:customStyle="1" w:styleId="at21">
    <w:name w:val="a__t21"/>
    <w:rPr>
      <w:b w:val="0"/>
      <w:bCs w:val="0"/>
    </w:rPr>
  </w:style>
  <w:style w:type="character" w:customStyle="1" w:styleId="at12">
    <w:name w:val="a__t12"/>
    <w:rPr>
      <w:b w:val="0"/>
      <w:bCs w:val="0"/>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pl-P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l-PL"/>
    </w:rPr>
  </w:style>
  <w:style w:type="paragraph" w:styleId="BalloonText">
    <w:name w:val="Balloon Text"/>
    <w:basedOn w:val="Normal"/>
    <w:link w:val="BalloonTextChar"/>
    <w:pPr>
      <w:spacing w:after="0" w:line="240" w:lineRule="auto"/>
      <w:jc w:val="both"/>
    </w:pPr>
    <w:rPr>
      <w:rFonts w:ascii="Tahoma" w:eastAsia="Times New Roman" w:hAnsi="Tahoma" w:cs="Times New Roman"/>
      <w:sz w:val="16"/>
      <w:szCs w:val="16"/>
    </w:rPr>
  </w:style>
  <w:style w:type="character" w:customStyle="1" w:styleId="BalloonTextChar">
    <w:name w:val="Balloon Text Char"/>
    <w:basedOn w:val="DefaultParagraphFont"/>
    <w:link w:val="BalloonText"/>
    <w:rPr>
      <w:rFonts w:ascii="Tahoma" w:eastAsia="Times New Roman" w:hAnsi="Tahoma" w:cs="Times New Roman"/>
      <w:sz w:val="16"/>
      <w:szCs w:val="16"/>
      <w:lang w:val="pl-PL"/>
    </w:rPr>
  </w:style>
  <w:style w:type="paragraph" w:customStyle="1" w:styleId="Headinsh2">
    <w:name w:val="Headinsh 2"/>
    <w:basedOn w:val="Text1"/>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paragraph" w:styleId="ListParagraph">
    <w:name w:val="List Paragraph"/>
    <w:aliases w:val="List Paragraph_Sections,1st level - Bullet List Paragraph,Lettre d'introduction,Paragrafo elenco,List Paragraph1,Medium Grid 1 - Accent 21"/>
    <w:basedOn w:val="Normal"/>
    <w:link w:val="ListParagraphChar"/>
    <w:uiPriority w:val="34"/>
    <w:qFormat/>
    <w:pPr>
      <w:spacing w:before="120" w:after="120" w:line="240" w:lineRule="auto"/>
      <w:ind w:left="708"/>
      <w:jc w:val="both"/>
    </w:pPr>
    <w:rPr>
      <w:rFonts w:ascii="Times New Roman" w:eastAsia="Times New Roman" w:hAnsi="Times New Roman" w:cs="Times New Roman"/>
      <w:sz w:val="24"/>
      <w:szCs w:val="24"/>
    </w:rPr>
  </w:style>
  <w:style w:type="character" w:styleId="FollowedHyperlink">
    <w:name w:val="FollowedHyperlink"/>
    <w:rPr>
      <w:color w:val="800080"/>
      <w:u w:val="single"/>
    </w:rPr>
  </w:style>
  <w:style w:type="paragraph" w:customStyle="1" w:styleId="Headig4">
    <w:name w:val="Headig 4"/>
    <w:basedOn w:val="Normal"/>
    <w:pPr>
      <w:autoSpaceDE w:val="0"/>
      <w:autoSpaceDN w:val="0"/>
      <w:adjustRightInd w:val="0"/>
      <w:spacing w:after="166" w:line="240" w:lineRule="auto"/>
      <w:jc w:val="both"/>
    </w:pPr>
    <w:rPr>
      <w:rFonts w:ascii="Times New Roman" w:eastAsia="Times New Roman" w:hAnsi="Times New Roman" w:cs="Times New Roman"/>
      <w:b/>
      <w:sz w:val="24"/>
      <w:szCs w:val="24"/>
    </w:rPr>
  </w:style>
  <w:style w:type="character" w:styleId="HTMLCite">
    <w:name w:val="HTML Cite"/>
    <w:uiPriority w:val="99"/>
    <w:unhideWhenUsed/>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ates1">
    <w:name w:val="t-dates1"/>
    <w:rPr>
      <w:color w:val="414141"/>
    </w:rPr>
  </w:style>
  <w:style w:type="character" w:customStyle="1" w:styleId="FootnoteCharacters">
    <w:name w:val="Footnote Characters"/>
    <w:rPr>
      <w:rFonts w:cs="Times New Roman"/>
      <w:vertAlign w:val="superscript"/>
    </w:rPr>
  </w:style>
  <w:style w:type="character" w:customStyle="1" w:styleId="Odwoanieprzypisudolnego2">
    <w:name w:val="Odwołanie przypisu dolnego2"/>
    <w:rPr>
      <w:vertAlign w:val="superscript"/>
    </w:rPr>
  </w:style>
  <w:style w:type="paragraph" w:styleId="EndnoteText">
    <w:name w:val="endnote text"/>
    <w:basedOn w:val="Normal"/>
    <w:link w:val="EndnoteTextChar1"/>
    <w:uiPriority w:val="99"/>
    <w:unhideWhenUsed/>
    <w:pPr>
      <w:spacing w:after="0" w:line="240" w:lineRule="auto"/>
      <w:jc w:val="both"/>
    </w:pPr>
    <w:rPr>
      <w:rFonts w:ascii="Times New Roman" w:eastAsia="Calibri" w:hAnsi="Times New Roman" w:cs="Times New Roman"/>
      <w:sz w:val="20"/>
      <w:szCs w:val="20"/>
    </w:rPr>
  </w:style>
  <w:style w:type="character" w:customStyle="1" w:styleId="EndnoteTextChar">
    <w:name w:val="Endnote Text Char"/>
    <w:basedOn w:val="DefaultParagraphFont"/>
    <w:rPr>
      <w:sz w:val="20"/>
      <w:szCs w:val="20"/>
    </w:rPr>
  </w:style>
  <w:style w:type="character" w:customStyle="1" w:styleId="A7">
    <w:name w:val="A7"/>
    <w:uiPriority w:val="99"/>
    <w:rPr>
      <w:rFonts w:ascii="TradeGothic" w:hAnsi="TradeGothic" w:cs="TradeGothic" w:hint="default"/>
      <w:color w:val="000000"/>
      <w:sz w:val="17"/>
      <w:szCs w:val="17"/>
    </w:rPr>
  </w:style>
  <w:style w:type="character" w:customStyle="1" w:styleId="EndnoteTextChar1">
    <w:name w:val="Endnote Text Char1"/>
    <w:link w:val="EndnoteText"/>
    <w:uiPriority w:val="99"/>
    <w:locked/>
    <w:rPr>
      <w:rFonts w:ascii="Times New Roman" w:eastAsia="Calibri" w:hAnsi="Times New Roman" w:cs="Times New Roman"/>
      <w:sz w:val="20"/>
      <w:szCs w:val="20"/>
      <w:lang w:val="pl-PL" w:eastAsia="pl-PL"/>
    </w:rPr>
  </w:style>
  <w:style w:type="paragraph" w:customStyle="1" w:styleId="Heaing2">
    <w:name w:val="Heaing 2"/>
    <w:basedOn w:val="Heading3"/>
    <w:rPr>
      <w:b w:val="0"/>
      <w:i/>
    </w:rPr>
  </w:style>
  <w:style w:type="paragraph" w:customStyle="1" w:styleId="Headung3">
    <w:name w:val="Headung 3"/>
    <w:basedOn w:val="Normal"/>
    <w:rPr>
      <w:rFonts w:ascii="Times New Roman" w:eastAsia="Calibri" w:hAnsi="Times New Roman" w:cs="Times New Roman"/>
      <w:color w:val="000000"/>
      <w:sz w:val="24"/>
      <w:szCs w:val="24"/>
    </w:rPr>
  </w:style>
  <w:style w:type="paragraph" w:customStyle="1" w:styleId="ZDGName">
    <w:name w:val="Z_DGName"/>
    <w:basedOn w:val="Normal"/>
    <w:pPr>
      <w:widowControl w:val="0"/>
      <w:autoSpaceDE w:val="0"/>
      <w:autoSpaceDN w:val="0"/>
      <w:spacing w:after="0" w:line="240" w:lineRule="auto"/>
      <w:ind w:right="85"/>
    </w:pPr>
    <w:rPr>
      <w:rFonts w:ascii="Arial" w:eastAsia="Times New Roman" w:hAnsi="Arial" w:cs="Arial"/>
      <w:sz w:val="16"/>
      <w:szCs w:val="16"/>
    </w:rPr>
  </w:style>
  <w:style w:type="paragraph" w:customStyle="1" w:styleId="BTBullet1">
    <w:name w:val="BTBullet1"/>
    <w:basedOn w:val="Normal"/>
    <w:uiPriority w:val="6"/>
    <w:qFormat/>
    <w:pPr>
      <w:numPr>
        <w:numId w:val="19"/>
      </w:numPr>
      <w:spacing w:after="0" w:line="240" w:lineRule="atLeast"/>
    </w:pPr>
    <w:rPr>
      <w:rFonts w:ascii="Arial" w:eastAsia="Calibri" w:hAnsi="Arial" w:cs="Times New Roman"/>
      <w:sz w:val="20"/>
      <w:szCs w:val="24"/>
    </w:rPr>
  </w:style>
  <w:style w:type="paragraph" w:customStyle="1" w:styleId="BTBullet2">
    <w:name w:val="BTBullet2"/>
    <w:basedOn w:val="Normal"/>
    <w:uiPriority w:val="6"/>
    <w:qFormat/>
    <w:pPr>
      <w:numPr>
        <w:ilvl w:val="1"/>
        <w:numId w:val="19"/>
      </w:numPr>
      <w:spacing w:after="0" w:line="240" w:lineRule="atLeast"/>
    </w:pPr>
    <w:rPr>
      <w:rFonts w:ascii="Arial" w:eastAsia="Calibri" w:hAnsi="Arial" w:cs="Times New Roman"/>
      <w:sz w:val="20"/>
      <w:szCs w:val="24"/>
    </w:rPr>
  </w:style>
  <w:style w:type="paragraph" w:customStyle="1" w:styleId="BTBullet3">
    <w:name w:val="BTBullet3"/>
    <w:basedOn w:val="Normal"/>
    <w:uiPriority w:val="6"/>
    <w:qFormat/>
    <w:pPr>
      <w:numPr>
        <w:ilvl w:val="2"/>
        <w:numId w:val="19"/>
      </w:numPr>
      <w:spacing w:after="0" w:line="240" w:lineRule="atLeast"/>
    </w:pPr>
    <w:rPr>
      <w:rFonts w:ascii="Arial" w:eastAsia="Calibri" w:hAnsi="Arial" w:cs="Times New Roman"/>
      <w:sz w:val="20"/>
      <w:szCs w:val="24"/>
    </w:rPr>
  </w:style>
  <w:style w:type="numbering" w:customStyle="1" w:styleId="NumbLstBTBullet">
    <w:name w:val="NumbLstBTBullet"/>
    <w:uiPriority w:val="99"/>
    <w:pPr>
      <w:numPr>
        <w:numId w:val="18"/>
      </w:numPr>
    </w:p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rPr>
      <w:vertAlign w:val="superscript"/>
    </w:rPr>
  </w:style>
  <w:style w:type="paragraph" w:styleId="Caption">
    <w:name w:val="caption"/>
    <w:aliases w:val="Char Char Char,Char Char Char Char Char Char,Char Char Char Char,Char Char Char Char Char,Caption Char1,Char Char Char Char1,Char Char Char Char Char Char1,Char Char Char Char Char1 Char Char,topic,CaptionTLS,CaptionCFMU,figura,RptCaption"/>
    <w:basedOn w:val="Normal"/>
    <w:next w:val="Normal"/>
    <w:link w:val="CaptionChar"/>
    <w:uiPriority w:val="35"/>
    <w:unhideWhenUsed/>
    <w:qFormat/>
    <w:pPr>
      <w:keepNext/>
      <w:keepLines/>
      <w:widowControl w:val="0"/>
      <w:spacing w:before="240" w:after="120" w:line="360" w:lineRule="auto"/>
      <w:contextualSpacing/>
      <w:jc w:val="center"/>
    </w:pPr>
    <w:rPr>
      <w:rFonts w:eastAsia="Times New Roman" w:cstheme="minorHAnsi"/>
      <w:b/>
      <w:bCs/>
      <w:color w:val="002060"/>
      <w:sz w:val="18"/>
      <w:szCs w:val="18"/>
    </w:rPr>
  </w:style>
  <w:style w:type="table" w:customStyle="1" w:styleId="EuropeanCommissionstyle">
    <w:name w:val="European Commission style"/>
    <w:basedOn w:val="TableNormal"/>
    <w:uiPriority w:val="99"/>
    <w:pPr>
      <w:spacing w:after="0" w:line="240" w:lineRule="auto"/>
    </w:pPr>
    <w:rPr>
      <w:rFonts w:ascii="Verdana" w:eastAsia="Times New Roman" w:hAnsi="Verdana" w:cs="Times New Roman"/>
      <w:sz w:val="12"/>
      <w:szCs w:val="20"/>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rPr>
      <w:cantSplit/>
    </w:trPr>
    <w:tcPr>
      <w:shd w:val="clear" w:color="auto" w:fill="F2F2F2" w:themeFill="background1" w:themeFillShade="F2"/>
    </w:tcPr>
    <w:tblStylePr w:type="firstRow">
      <w:rPr>
        <w:rFonts w:ascii="Verdana" w:hAnsi="Verdana"/>
        <w:b/>
        <w:color w:val="FFFFFF" w:themeColor="background1"/>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character" w:customStyle="1" w:styleId="CaptionChar">
    <w:name w:val="Caption Char"/>
    <w:aliases w:val="Char Char Char Char2,Char Char Char Char Char Char Char,Char Char Char Char Char1,Char Char Char Char Char Char2,Caption Char1 Char,Char Char Char Char1 Char,Char Char Char Char Char Char1 Char,Char Char Char Char Char1 Char Char Char"/>
    <w:link w:val="Caption"/>
    <w:uiPriority w:val="35"/>
    <w:locked/>
    <w:rPr>
      <w:rFonts w:eastAsia="Times New Roman" w:cstheme="minorHAnsi"/>
      <w:b/>
      <w:bCs/>
      <w:color w:val="002060"/>
      <w:sz w:val="18"/>
      <w:szCs w:val="18"/>
      <w:lang w:eastAsia="pl-PL"/>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MAINPARAGRAPH">
    <w:name w:val="MAIN PARAGRAPH"/>
    <w:basedOn w:val="Normal"/>
    <w:link w:val="MAINPARAGRAPHChar"/>
    <w:qFormat/>
    <w:pPr>
      <w:spacing w:before="120" w:after="120" w:line="360" w:lineRule="auto"/>
      <w:jc w:val="both"/>
    </w:pPr>
    <w:rPr>
      <w:rFonts w:ascii="Arial" w:eastAsia="Times New Roman" w:hAnsi="Arial" w:cs="Times New Roman"/>
      <w:color w:val="000000" w:themeColor="text1"/>
      <w:sz w:val="19"/>
      <w:szCs w:val="19"/>
    </w:rPr>
  </w:style>
  <w:style w:type="character" w:customStyle="1" w:styleId="MAINPARAGRAPHChar">
    <w:name w:val="MAIN PARAGRAPH Char"/>
    <w:basedOn w:val="DefaultParagraphFont"/>
    <w:link w:val="MAINPARAGRAPH"/>
    <w:rPr>
      <w:rFonts w:ascii="Arial" w:eastAsia="Times New Roman" w:hAnsi="Arial" w:cs="Times New Roman"/>
      <w:color w:val="000000" w:themeColor="text1"/>
      <w:sz w:val="19"/>
      <w:szCs w:val="19"/>
      <w:lang w:eastAsia="pl-PL"/>
    </w:rPr>
  </w:style>
  <w:style w:type="character" w:styleId="Strong">
    <w:name w:val="Strong"/>
    <w:basedOn w:val="DefaultParagraphFont"/>
    <w:uiPriority w:val="22"/>
    <w:qFormat/>
    <w:rPr>
      <w:rFonts w:ascii="Times New Roman" w:hAnsi="Times New Roman" w:cs="Times New Roman" w:hint="default"/>
      <w:b/>
      <w:bCs/>
    </w:rPr>
  </w:style>
  <w:style w:type="table" w:styleId="LightShading-Accent5">
    <w:name w:val="Light Shading Accent 5"/>
    <w:basedOn w:val="TableNormal"/>
    <w:uiPriority w:val="6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Corpsdutexte">
    <w:name w:val="Corps du texte_"/>
    <w:basedOn w:val="DefaultParagraphFont"/>
    <w:link w:val="Corpsdutexte0"/>
    <w:rPr>
      <w:shd w:val="clear" w:color="auto" w:fill="FFFFFF"/>
    </w:rPr>
  </w:style>
  <w:style w:type="paragraph" w:customStyle="1" w:styleId="Corpsdutexte0">
    <w:name w:val="Corps du texte"/>
    <w:basedOn w:val="Normal"/>
    <w:link w:val="Corpsdutexte"/>
    <w:pPr>
      <w:widowControl w:val="0"/>
      <w:shd w:val="clear" w:color="auto" w:fill="FFFFFF"/>
      <w:spacing w:after="0" w:line="0" w:lineRule="atLeast"/>
    </w:pPr>
  </w:style>
  <w:style w:type="table" w:customStyle="1" w:styleId="LightShading-Accent51">
    <w:name w:val="Light Shading - Accent 51"/>
    <w:basedOn w:val="TableNormal"/>
    <w:next w:val="LightShading-Accent5"/>
    <w:uiPriority w:val="6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eGrid4">
    <w:name w:val="Table Grid4"/>
    <w:basedOn w:val="TableNormal"/>
    <w:next w:val="TableGrid"/>
    <w:uiPriority w:val="5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_Sections Char,1st level - Bullet List Paragraph Char,Lettre d'introduction Char,Paragrafo elenco Char,List Paragraph1 Char,Medium Grid 1 - Accent 21 Char"/>
    <w:basedOn w:val="DefaultParagraphFont"/>
    <w:link w:val="ListParagraph"/>
    <w:uiPriority w:val="34"/>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qFormat/>
    <w:pPr>
      <w:numPr>
        <w:ilvl w:val="1"/>
      </w:numPr>
      <w:spacing w:before="120" w:after="160" w:line="240" w:lineRule="auto"/>
      <w:jc w:val="both"/>
    </w:pPr>
    <w:rPr>
      <w:rFonts w:eastAsiaTheme="minorEastAsia"/>
      <w:color w:val="5A5A5A" w:themeColor="text1" w:themeTint="A5"/>
      <w:spacing w:val="15"/>
    </w:rPr>
  </w:style>
  <w:style w:type="character" w:customStyle="1" w:styleId="SubtitleChar">
    <w:name w:val="Subtitle Char"/>
    <w:basedOn w:val="DefaultParagraphFont"/>
    <w:link w:val="Subtitle"/>
    <w:rPr>
      <w:rFonts w:eastAsiaTheme="minorEastAsia"/>
      <w:color w:val="5A5A5A" w:themeColor="text1" w:themeTint="A5"/>
      <w:spacing w:val="15"/>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styleId="IntenseEmphasis">
    <w:name w:val="Intense Emphasis"/>
    <w:basedOn w:val="DefaultParagraphFont"/>
    <w:uiPriority w:val="21"/>
    <w:qFormat/>
    <w:rPr>
      <w:i/>
      <w:iCs/>
      <w:color w:val="4F81BD" w:themeColor="accent1"/>
    </w:rPr>
  </w:style>
  <w:style w:type="paragraph" w:styleId="TableofFigures">
    <w:name w:val="table of figures"/>
    <w:basedOn w:val="Normal"/>
    <w:next w:val="Normal"/>
    <w:uiPriority w:val="99"/>
    <w:unhideWhenUsed/>
    <w:pPr>
      <w:spacing w:after="0"/>
    </w:pPr>
  </w:style>
  <w:style w:type="table" w:customStyle="1" w:styleId="EuropeanCommissionstyle1">
    <w:name w:val="European Commission style1"/>
    <w:basedOn w:val="TableNormal"/>
    <w:uiPriority w:val="99"/>
    <w:pPr>
      <w:spacing w:after="0" w:line="240" w:lineRule="auto"/>
    </w:pPr>
    <w:rPr>
      <w:rFonts w:ascii="Verdana" w:eastAsia="Times New Roman" w:hAnsi="Verdana" w:cs="Times New Roman"/>
      <w:sz w:val="12"/>
      <w:szCs w:val="20"/>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rPr>
      <w:cantSplit/>
    </w:trPr>
    <w:tcPr>
      <w:shd w:val="clear" w:color="auto" w:fill="F2F2F2"/>
    </w:tcPr>
    <w:tblStylePr w:type="firstRow">
      <w:rPr>
        <w:rFonts w:ascii="Times" w:hAnsi="Times"/>
        <w:b/>
        <w:color w:val="FFFFFF"/>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6FD1-22EC-4667-8DD1-0A75ECF5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934</Words>
  <Characters>7013</Characters>
  <Application>Microsoft Office Word</Application>
  <DocSecurity>0</DocSecurity>
  <Lines>280</Lines>
  <Paragraphs>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BOVALIS Konstantinos (DIGIT)</dc:creator>
  <cp:lastModifiedBy>DIGIT/A3</cp:lastModifiedBy>
  <cp:revision>11</cp:revision>
  <cp:lastPrinted>2016-10-26T10:21:00Z</cp:lastPrinted>
  <dcterms:created xsi:type="dcterms:W3CDTF">2017-03-14T06:38:00Z</dcterms:created>
  <dcterms:modified xsi:type="dcterms:W3CDTF">2017-03-15T10:58:00Z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_NewReviewCycle">
    <vt:lpwstr/>
  </property>
  <property fmtid="{D5CDD505-2E9C-101B-9397-08002B2CF9AE}" pid="7" name="First annex">
    <vt:lpwstr>1</vt:lpwstr>
  </property>
  <property fmtid="{D5CDD505-2E9C-101B-9397-08002B2CF9AE}" pid="8" name="Last annex">
    <vt:lpwstr>1</vt:lpwstr>
  </property>
</Properties>
</file>